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C44" w:rsidRDefault="00820C44" w:rsidP="00820C4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sidR="005D2EB5">
        <w:rPr>
          <w:rFonts w:ascii="Arial" w:hAnsi="Arial" w:cs="Arial"/>
          <w:b/>
          <w:bCs/>
          <w:sz w:val="24"/>
        </w:rPr>
        <w:t>9</w:t>
      </w:r>
      <w:r>
        <w:rPr>
          <w:rFonts w:ascii="Arial" w:hAnsi="Arial" w:cs="Arial"/>
          <w:b/>
          <w:bCs/>
          <w:sz w:val="24"/>
        </w:rPr>
        <w:tab/>
        <w:t>S2-1</w:t>
      </w:r>
      <w:r w:rsidRPr="00770F02">
        <w:rPr>
          <w:rFonts w:ascii="Arial" w:hAnsi="Arial" w:cs="Arial"/>
          <w:b/>
          <w:bCs/>
          <w:sz w:val="24"/>
        </w:rPr>
        <w:t>7</w:t>
      </w:r>
      <w:r w:rsidR="001D09FF">
        <w:rPr>
          <w:rFonts w:ascii="Arial" w:hAnsi="Arial" w:cs="Arial"/>
          <w:b/>
          <w:bCs/>
          <w:sz w:val="24"/>
        </w:rPr>
        <w:t>1159</w:t>
      </w:r>
    </w:p>
    <w:p w:rsidR="004934E0" w:rsidRDefault="005D2EB5" w:rsidP="00820C44">
      <w:pPr>
        <w:keepNext/>
        <w:rPr>
          <w:rFonts w:ascii="Arial" w:hAnsi="Arial" w:cs="Arial"/>
          <w:b/>
          <w:bCs/>
          <w:color w:val="0000FF"/>
          <w:sz w:val="24"/>
        </w:rPr>
      </w:pPr>
      <w:r>
        <w:rPr>
          <w:rFonts w:ascii="Arial" w:hAnsi="Arial" w:cs="Arial"/>
          <w:b/>
          <w:bCs/>
          <w:sz w:val="24"/>
        </w:rPr>
        <w:t>13</w:t>
      </w:r>
      <w:r w:rsidR="007C0174">
        <w:rPr>
          <w:rFonts w:ascii="Arial" w:hAnsi="Arial" w:cs="Arial"/>
          <w:b/>
          <w:bCs/>
          <w:sz w:val="24"/>
        </w:rPr>
        <w:t xml:space="preserve"> – </w:t>
      </w:r>
      <w:r>
        <w:rPr>
          <w:rFonts w:ascii="Arial" w:hAnsi="Arial" w:cs="Arial"/>
          <w:b/>
          <w:bCs/>
          <w:sz w:val="24"/>
        </w:rPr>
        <w:t>17 February 2017, Dubrovnik, Croatia</w:t>
      </w:r>
      <w:r w:rsidR="00CF6838">
        <w:rPr>
          <w:rFonts w:ascii="Arial" w:hAnsi="Arial" w:cs="Arial"/>
          <w:b/>
          <w:bCs/>
          <w:color w:val="0000FF"/>
          <w:sz w:val="24"/>
        </w:rPr>
        <w:tab/>
        <w:t xml:space="preserve">        </w:t>
      </w:r>
    </w:p>
    <w:p w:rsidR="00A116A9" w:rsidRPr="00A116A9" w:rsidRDefault="00A116A9" w:rsidP="00820C44">
      <w:pPr>
        <w:keepNext/>
        <w:rPr>
          <w:sz w:val="24"/>
        </w:rPr>
      </w:pP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5D2EB5">
        <w:rPr>
          <w:rFonts w:ascii="Arial" w:hAnsi="Arial" w:cs="Arial"/>
          <w:b/>
        </w:rPr>
        <w:t>, Alcatel-Lucent Shanghai Bell</w:t>
      </w:r>
      <w:r w:rsidR="007C0174">
        <w:rPr>
          <w:rFonts w:ascii="Arial" w:hAnsi="Arial" w:cs="Arial"/>
          <w:b/>
        </w:rPr>
        <w:t>, Huawei, HiSilicon</w:t>
      </w:r>
      <w:r w:rsidR="006270FD">
        <w:rPr>
          <w:rFonts w:ascii="Arial" w:hAnsi="Arial" w:cs="Arial"/>
          <w:b/>
        </w:rPr>
        <w:t>, Verizon</w:t>
      </w:r>
    </w:p>
    <w:p w:rsidR="00081EBC" w:rsidRDefault="00081EBC" w:rsidP="00081EBC">
      <w:pPr>
        <w:ind w:left="2127" w:hanging="2127"/>
        <w:rPr>
          <w:rFonts w:ascii="Arial" w:hAnsi="Arial" w:cs="Arial"/>
          <w:b/>
        </w:rPr>
      </w:pPr>
      <w:r>
        <w:rPr>
          <w:rFonts w:ascii="Arial" w:hAnsi="Arial" w:cs="Arial"/>
          <w:b/>
        </w:rPr>
        <w:t>Title:</w:t>
      </w:r>
      <w:r>
        <w:rPr>
          <w:rFonts w:ascii="Arial" w:hAnsi="Arial" w:cs="Arial"/>
          <w:b/>
        </w:rPr>
        <w:tab/>
      </w:r>
      <w:r w:rsidR="00245600">
        <w:rPr>
          <w:rFonts w:ascii="Arial" w:hAnsi="Arial" w:cs="Arial"/>
          <w:b/>
        </w:rPr>
        <w:t>Justification for PDN connection restriction flag</w:t>
      </w:r>
    </w:p>
    <w:p w:rsidR="00327F50" w:rsidRDefault="00245600">
      <w:pPr>
        <w:ind w:left="2127" w:hanging="2127"/>
        <w:rPr>
          <w:rFonts w:ascii="Arial" w:hAnsi="Arial" w:cs="Arial"/>
          <w:b/>
        </w:rPr>
      </w:pPr>
      <w:r>
        <w:rPr>
          <w:rFonts w:ascii="Arial" w:hAnsi="Arial" w:cs="Arial"/>
          <w:b/>
        </w:rPr>
        <w:t>Document for:</w:t>
      </w:r>
      <w:r>
        <w:rPr>
          <w:rFonts w:ascii="Arial" w:hAnsi="Arial" w:cs="Arial"/>
          <w:b/>
        </w:rPr>
        <w:tab/>
        <w:t>Discussion</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45600">
        <w:rPr>
          <w:rFonts w:ascii="Arial" w:hAnsi="Arial" w:cs="Arial"/>
          <w:b/>
        </w:rPr>
        <w:t>5.1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45600">
        <w:rPr>
          <w:rFonts w:ascii="Arial" w:hAnsi="Arial" w:cs="Arial"/>
          <w:b/>
        </w:rPr>
        <w:t>CIoT, Rel-13</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245600" w:rsidRPr="0026124A">
        <w:rPr>
          <w:rFonts w:ascii="Arial" w:hAnsi="Arial" w:cs="Arial"/>
          <w:i/>
        </w:rPr>
        <w:t>Background for the design choices behind the PDN connection restriction flag</w:t>
      </w:r>
    </w:p>
    <w:p w:rsidR="00327F50" w:rsidRDefault="00327F50" w:rsidP="00327F50">
      <w:pPr>
        <w:pStyle w:val="Heading1"/>
        <w:pBdr>
          <w:top w:val="single" w:sz="12" w:space="0" w:color="auto"/>
        </w:pBdr>
        <w:rPr>
          <w:rFonts w:eastAsia="SimSun"/>
          <w:lang w:eastAsia="zh-CN"/>
        </w:rPr>
      </w:pPr>
      <w:bookmarkStart w:id="1" w:name="_Toc471750286"/>
      <w:r>
        <w:rPr>
          <w:rFonts w:eastAsia="SimSun"/>
          <w:lang w:eastAsia="zh-CN"/>
        </w:rPr>
        <w:t>1</w:t>
      </w:r>
      <w:r>
        <w:rPr>
          <w:rFonts w:eastAsia="SimSun"/>
          <w:lang w:eastAsia="zh-CN"/>
        </w:rPr>
        <w:tab/>
        <w:t>Discussion</w:t>
      </w:r>
      <w:bookmarkEnd w:id="1"/>
    </w:p>
    <w:p w:rsidR="00245600" w:rsidRPr="00D652D9" w:rsidRDefault="00245600" w:rsidP="007C0174">
      <w:pPr>
        <w:pStyle w:val="CRCoverPage"/>
        <w:spacing w:after="0"/>
        <w:rPr>
          <w:rFonts w:cs="Arial"/>
        </w:rPr>
      </w:pPr>
      <w:r>
        <w:rPr>
          <w:rFonts w:cs="Arial"/>
        </w:rPr>
        <w:t>The intention of the PDN connection restric</w:t>
      </w:r>
      <w:r w:rsidR="006270FD">
        <w:rPr>
          <w:rFonts w:cs="Arial"/>
        </w:rPr>
        <w:t>tion flag is subscription based</w:t>
      </w:r>
      <w:r>
        <w:rPr>
          <w:rFonts w:cs="Arial"/>
        </w:rPr>
        <w:t xml:space="preserve"> prevent</w:t>
      </w:r>
      <w:r w:rsidR="006270FD">
        <w:rPr>
          <w:rFonts w:cs="Arial"/>
        </w:rPr>
        <w:t>ion</w:t>
      </w:r>
      <w:r>
        <w:rPr>
          <w:rFonts w:cs="Arial"/>
        </w:rPr>
        <w:t xml:space="preserve"> </w:t>
      </w:r>
      <w:r w:rsidR="006270FD">
        <w:rPr>
          <w:rFonts w:cs="Arial"/>
        </w:rPr>
        <w:t xml:space="preserve">of </w:t>
      </w:r>
      <w:r>
        <w:rPr>
          <w:rFonts w:cs="Arial"/>
        </w:rPr>
        <w:t xml:space="preserve">unnecessary PDN connection establishment by a subscriber who has got this PDN connection restriction flag set. </w:t>
      </w:r>
      <w:r w:rsidR="00487FF8">
        <w:rPr>
          <w:rFonts w:cs="Arial"/>
        </w:rPr>
        <w:t xml:space="preserve">The cover page of </w:t>
      </w:r>
      <w:hyperlink r:id="rId8" w:history="1">
        <w:r w:rsidR="00487FF8" w:rsidRPr="007C0174">
          <w:rPr>
            <w:rStyle w:val="Hyperlink"/>
            <w:rFonts w:cs="Arial"/>
          </w:rPr>
          <w:t>C4-16405</w:t>
        </w:r>
        <w:r w:rsidR="008052EB" w:rsidRPr="007C0174">
          <w:rPr>
            <w:rStyle w:val="Hyperlink"/>
            <w:rFonts w:cs="Arial"/>
          </w:rPr>
          <w:t>6</w:t>
        </w:r>
      </w:hyperlink>
      <w:r w:rsidR="008052EB">
        <w:rPr>
          <w:rFonts w:cs="Arial"/>
        </w:rPr>
        <w:t xml:space="preserve"> gives the use case as a metering device that can be attached without PDN connectivity as only SMS service is needed. Backwards compatibility via not impacting UEs that do not support attach without PDN connection was also required. </w:t>
      </w:r>
    </w:p>
    <w:p w:rsidR="00487FF8" w:rsidRPr="00D652D9" w:rsidRDefault="00487FF8" w:rsidP="007C0174">
      <w:pPr>
        <w:pStyle w:val="CRCoverPage"/>
        <w:spacing w:after="0"/>
        <w:rPr>
          <w:noProof/>
        </w:rPr>
      </w:pPr>
    </w:p>
    <w:p w:rsidR="00245600" w:rsidRDefault="008B7804" w:rsidP="007C0174">
      <w:pPr>
        <w:rPr>
          <w:rFonts w:ascii="Arial" w:hAnsi="Arial" w:cs="Arial"/>
        </w:rPr>
      </w:pPr>
      <w:r>
        <w:rPr>
          <w:rFonts w:ascii="Arial" w:hAnsi="Arial" w:cs="Arial"/>
        </w:rPr>
        <w:t xml:space="preserve">Considering </w:t>
      </w:r>
      <w:r w:rsidR="007C0174">
        <w:rPr>
          <w:rFonts w:ascii="Arial" w:hAnsi="Arial" w:cs="Arial"/>
        </w:rPr>
        <w:t>t</w:t>
      </w:r>
      <w:r w:rsidR="00245600">
        <w:rPr>
          <w:rFonts w:ascii="Arial" w:hAnsi="Arial" w:cs="Arial"/>
        </w:rPr>
        <w:t>he lack of backwards compatibility of some CIoT procedures, such as attach without PDN connection, this requirement introduces a trade</w:t>
      </w:r>
      <w:r w:rsidR="007C0174">
        <w:rPr>
          <w:rFonts w:ascii="Arial" w:hAnsi="Arial" w:cs="Arial"/>
        </w:rPr>
        <w:t>-</w:t>
      </w:r>
      <w:r w:rsidR="00245600">
        <w:rPr>
          <w:rFonts w:ascii="Arial" w:hAnsi="Arial" w:cs="Arial"/>
        </w:rPr>
        <w:t xml:space="preserve">off between strict policing of </w:t>
      </w:r>
      <w:r w:rsidR="006F167B">
        <w:rPr>
          <w:rFonts w:ascii="Arial" w:hAnsi="Arial" w:cs="Arial"/>
        </w:rPr>
        <w:t xml:space="preserve">no PDN connections allowed for the user in any circumstances vs. provisioning of service at all times, but dropping the unnecessary PDN connections, when it is technically feasible without having to force the UE to change to another PLMN or to camp on </w:t>
      </w:r>
      <w:r w:rsidR="007C0174">
        <w:rPr>
          <w:rFonts w:ascii="Arial" w:hAnsi="Arial" w:cs="Arial"/>
        </w:rPr>
        <w:t xml:space="preserve">a </w:t>
      </w:r>
      <w:r w:rsidR="006F167B">
        <w:rPr>
          <w:rFonts w:ascii="Arial" w:hAnsi="Arial" w:cs="Arial"/>
        </w:rPr>
        <w:t>cell in limited service state. This trade</w:t>
      </w:r>
      <w:r w:rsidR="007C0174">
        <w:rPr>
          <w:rFonts w:ascii="Arial" w:hAnsi="Arial" w:cs="Arial"/>
        </w:rPr>
        <w:t>-</w:t>
      </w:r>
      <w:r w:rsidR="006F167B">
        <w:rPr>
          <w:rFonts w:ascii="Arial" w:hAnsi="Arial" w:cs="Arial"/>
        </w:rPr>
        <w:t xml:space="preserve">off was solved in favour of providing the level of service that is compatible with the subscription and the capabilities of the UE and the serving PLMN. </w:t>
      </w:r>
    </w:p>
    <w:p w:rsidR="006F167B" w:rsidRDefault="006F167B" w:rsidP="007C0174">
      <w:pPr>
        <w:rPr>
          <w:rFonts w:ascii="Arial" w:hAnsi="Arial" w:cs="Arial"/>
        </w:rPr>
      </w:pPr>
      <w:r>
        <w:rPr>
          <w:rFonts w:ascii="Arial" w:hAnsi="Arial" w:cs="Arial"/>
        </w:rPr>
        <w:t xml:space="preserve">TSG CT #73 approved in December 2016 meeting CT4 and CT1 CRs that specify the UE and network handling of PDN connection restriction flag. The approved CRs are </w:t>
      </w:r>
      <w:hyperlink r:id="rId9" w:history="1">
        <w:r w:rsidRPr="007C0174">
          <w:rPr>
            <w:rStyle w:val="Hyperlink"/>
            <w:rFonts w:ascii="Arial" w:hAnsi="Arial" w:cs="Arial"/>
          </w:rPr>
          <w:t>C4-164056</w:t>
        </w:r>
      </w:hyperlink>
      <w:r>
        <w:rPr>
          <w:rFonts w:ascii="Arial" w:hAnsi="Arial" w:cs="Arial"/>
        </w:rPr>
        <w:t xml:space="preserve">, </w:t>
      </w:r>
      <w:hyperlink r:id="rId10" w:history="1">
        <w:r w:rsidRPr="007C0174">
          <w:rPr>
            <w:rStyle w:val="Hyperlink"/>
            <w:rFonts w:ascii="Arial" w:hAnsi="Arial" w:cs="Arial"/>
          </w:rPr>
          <w:t>C4-164058</w:t>
        </w:r>
      </w:hyperlink>
      <w:r>
        <w:rPr>
          <w:rFonts w:ascii="Arial" w:hAnsi="Arial" w:cs="Arial"/>
        </w:rPr>
        <w:t xml:space="preserve"> and </w:t>
      </w:r>
      <w:hyperlink r:id="rId11" w:history="1">
        <w:r w:rsidRPr="007C0174">
          <w:rPr>
            <w:rStyle w:val="Hyperlink"/>
            <w:rFonts w:ascii="Arial" w:hAnsi="Arial" w:cs="Arial"/>
          </w:rPr>
          <w:t>C1-165436</w:t>
        </w:r>
      </w:hyperlink>
      <w:r>
        <w:rPr>
          <w:rFonts w:ascii="Arial" w:hAnsi="Arial" w:cs="Arial"/>
        </w:rPr>
        <w:t xml:space="preserve">. These changes specify the stage 2 </w:t>
      </w:r>
      <w:r w:rsidR="007C0174">
        <w:rPr>
          <w:rFonts w:ascii="Arial" w:hAnsi="Arial" w:cs="Arial"/>
        </w:rPr>
        <w:t xml:space="preserve">behaviour </w:t>
      </w:r>
      <w:r>
        <w:rPr>
          <w:rFonts w:ascii="Arial" w:hAnsi="Arial" w:cs="Arial"/>
        </w:rPr>
        <w:t xml:space="preserve">for the subscriber data, and the stage 3 procedures that use the PDN connection restriction flag. </w:t>
      </w:r>
    </w:p>
    <w:p w:rsidR="006F167B" w:rsidRDefault="006F167B" w:rsidP="007C0174">
      <w:pPr>
        <w:rPr>
          <w:rFonts w:ascii="Arial" w:hAnsi="Arial" w:cs="Arial"/>
        </w:rPr>
      </w:pPr>
      <w:r>
        <w:rPr>
          <w:rFonts w:ascii="Arial" w:hAnsi="Arial" w:cs="Arial"/>
        </w:rPr>
        <w:t xml:space="preserve">The originators of the already approved CRs consider that the already approved solution serves its purpose. However, since CT1 hinted that SA2 alignment might be useful, </w:t>
      </w:r>
      <w:r w:rsidR="007C0174">
        <w:rPr>
          <w:rFonts w:ascii="Arial" w:hAnsi="Arial" w:cs="Arial"/>
        </w:rPr>
        <w:t xml:space="preserve">they </w:t>
      </w:r>
      <w:r>
        <w:rPr>
          <w:rFonts w:ascii="Arial" w:hAnsi="Arial" w:cs="Arial"/>
        </w:rPr>
        <w:t xml:space="preserve">brought </w:t>
      </w:r>
      <w:r w:rsidR="007C0174">
        <w:rPr>
          <w:rFonts w:ascii="Arial" w:hAnsi="Arial" w:cs="Arial"/>
        </w:rPr>
        <w:t xml:space="preserve">the </w:t>
      </w:r>
      <w:r>
        <w:rPr>
          <w:rFonts w:ascii="Arial" w:hAnsi="Arial" w:cs="Arial"/>
        </w:rPr>
        <w:t xml:space="preserve">alignment CR </w:t>
      </w:r>
      <w:hyperlink r:id="rId12" w:history="1">
        <w:r w:rsidRPr="007C0174">
          <w:rPr>
            <w:rStyle w:val="Hyperlink"/>
            <w:rFonts w:ascii="Arial" w:hAnsi="Arial" w:cs="Arial"/>
          </w:rPr>
          <w:t>S2-170143</w:t>
        </w:r>
      </w:hyperlink>
      <w:r>
        <w:rPr>
          <w:rFonts w:ascii="Arial" w:hAnsi="Arial" w:cs="Arial"/>
        </w:rPr>
        <w:t xml:space="preserve"> to SA2 #118bis. This CR is a pure alignment CR</w:t>
      </w:r>
      <w:r w:rsidR="007C0174">
        <w:rPr>
          <w:rFonts w:ascii="Arial" w:hAnsi="Arial" w:cs="Arial"/>
        </w:rPr>
        <w:t>: its</w:t>
      </w:r>
      <w:r>
        <w:rPr>
          <w:rFonts w:ascii="Arial" w:hAnsi="Arial" w:cs="Arial"/>
        </w:rPr>
        <w:t xml:space="preserve"> approval would </w:t>
      </w:r>
      <w:r w:rsidR="007C0174">
        <w:rPr>
          <w:rFonts w:ascii="Arial" w:hAnsi="Arial" w:cs="Arial"/>
        </w:rPr>
        <w:t xml:space="preserve">imply </w:t>
      </w:r>
      <w:r>
        <w:rPr>
          <w:rFonts w:ascii="Arial" w:hAnsi="Arial" w:cs="Arial"/>
        </w:rPr>
        <w:t xml:space="preserve">no change in the CT </w:t>
      </w:r>
      <w:r w:rsidR="007C0174">
        <w:rPr>
          <w:rFonts w:ascii="Arial" w:hAnsi="Arial" w:cs="Arial"/>
        </w:rPr>
        <w:t>specifications as it simply</w:t>
      </w:r>
      <w:r>
        <w:rPr>
          <w:rFonts w:ascii="Arial" w:hAnsi="Arial" w:cs="Arial"/>
        </w:rPr>
        <w:t xml:space="preserve"> documents in TS 23.401 what has already been </w:t>
      </w:r>
      <w:r w:rsidR="007C0174">
        <w:rPr>
          <w:rFonts w:ascii="Arial" w:hAnsi="Arial" w:cs="Arial"/>
        </w:rPr>
        <w:t xml:space="preserve">captured in </w:t>
      </w:r>
      <w:r>
        <w:rPr>
          <w:rFonts w:ascii="Arial" w:hAnsi="Arial" w:cs="Arial"/>
        </w:rPr>
        <w:t>other stage 2</w:t>
      </w:r>
      <w:r w:rsidR="007C0174">
        <w:rPr>
          <w:rFonts w:ascii="Arial" w:hAnsi="Arial" w:cs="Arial"/>
        </w:rPr>
        <w:t xml:space="preserve"> (TS 23.008)</w:t>
      </w:r>
      <w:r>
        <w:rPr>
          <w:rFonts w:ascii="Arial" w:hAnsi="Arial" w:cs="Arial"/>
        </w:rPr>
        <w:t xml:space="preserve"> and stage 3 </w:t>
      </w:r>
      <w:r w:rsidR="007C0174">
        <w:rPr>
          <w:rFonts w:ascii="Arial" w:hAnsi="Arial" w:cs="Arial"/>
        </w:rPr>
        <w:t xml:space="preserve">(TS 29.272, TS 24.301) </w:t>
      </w:r>
      <w:r>
        <w:rPr>
          <w:rFonts w:ascii="Arial" w:hAnsi="Arial" w:cs="Arial"/>
        </w:rPr>
        <w:t xml:space="preserve">specifications. The SA2 CR was postponed in SA2 #118bis, with the intention of SA2 to understand better the requirements and the already approved solution. LS </w:t>
      </w:r>
      <w:hyperlink r:id="rId13" w:history="1">
        <w:r w:rsidRPr="007C0174">
          <w:rPr>
            <w:rStyle w:val="Hyperlink"/>
            <w:rFonts w:ascii="Arial" w:hAnsi="Arial" w:cs="Arial"/>
          </w:rPr>
          <w:t>S2-170700</w:t>
        </w:r>
      </w:hyperlink>
      <w:r>
        <w:rPr>
          <w:rFonts w:ascii="Arial" w:hAnsi="Arial" w:cs="Arial"/>
        </w:rPr>
        <w:t xml:space="preserve"> was sent to the CT groups, informing them of this, but not requesting any action. </w:t>
      </w:r>
    </w:p>
    <w:p w:rsidR="006F167B" w:rsidRPr="005D2EB5" w:rsidRDefault="00554712" w:rsidP="007C0174">
      <w:pPr>
        <w:rPr>
          <w:rFonts w:ascii="Arial" w:hAnsi="Arial" w:cs="Arial"/>
        </w:rPr>
      </w:pPr>
      <w:r>
        <w:rPr>
          <w:rFonts w:ascii="Arial" w:hAnsi="Arial" w:cs="Arial"/>
        </w:rPr>
        <w:t>By addressing the potential drawbacks listed in S2-170700, t</w:t>
      </w:r>
      <w:r w:rsidR="006F167B">
        <w:rPr>
          <w:rFonts w:ascii="Arial" w:hAnsi="Arial" w:cs="Arial"/>
        </w:rPr>
        <w:t xml:space="preserve">his discussion paper provides insight to the requirements, and the reasons for the design choices in the approved CRs. </w:t>
      </w:r>
    </w:p>
    <w:p w:rsidR="00327F50" w:rsidRDefault="00327F50" w:rsidP="00327F50">
      <w:pPr>
        <w:pStyle w:val="Heading1"/>
        <w:rPr>
          <w:rFonts w:eastAsia="SimSun"/>
          <w:lang w:eastAsia="zh-CN"/>
        </w:rPr>
      </w:pPr>
      <w:bookmarkStart w:id="2" w:name="_Toc471750287"/>
      <w:r>
        <w:rPr>
          <w:rFonts w:eastAsia="SimSun"/>
          <w:lang w:eastAsia="zh-CN"/>
        </w:rPr>
        <w:t>2</w:t>
      </w:r>
      <w:r>
        <w:rPr>
          <w:rFonts w:eastAsia="SimSun"/>
          <w:lang w:eastAsia="zh-CN"/>
        </w:rPr>
        <w:tab/>
      </w:r>
      <w:bookmarkEnd w:id="2"/>
      <w:r w:rsidR="006F167B">
        <w:rPr>
          <w:rFonts w:eastAsia="SimSun"/>
          <w:lang w:eastAsia="zh-CN"/>
        </w:rPr>
        <w:t>Technical considerations</w:t>
      </w:r>
    </w:p>
    <w:p w:rsidR="005D2EB5" w:rsidRDefault="006F167B" w:rsidP="006F167B">
      <w:pPr>
        <w:pStyle w:val="Heading2"/>
      </w:pPr>
      <w:r>
        <w:t>2.1</w:t>
      </w:r>
      <w:r>
        <w:tab/>
      </w:r>
      <w:r w:rsidR="00554712">
        <w:t xml:space="preserve">Potential drawback #1: </w:t>
      </w:r>
      <w:r>
        <w:t>ESM Dummy does not prevent standalone PDN connection request</w:t>
      </w:r>
    </w:p>
    <w:p w:rsidR="006F167B" w:rsidRDefault="00ED04D3" w:rsidP="00327F50">
      <w:pPr>
        <w:rPr>
          <w:rFonts w:ascii="Arial" w:hAnsi="Arial" w:cs="Arial"/>
        </w:rPr>
      </w:pPr>
      <w:r>
        <w:rPr>
          <w:rFonts w:ascii="Arial" w:hAnsi="Arial" w:cs="Arial"/>
        </w:rPr>
        <w:t xml:space="preserve">The UE may request standalone PDN connection establishment after </w:t>
      </w:r>
      <w:r w:rsidR="003827B4">
        <w:rPr>
          <w:rFonts w:ascii="Arial" w:hAnsi="Arial" w:cs="Arial"/>
        </w:rPr>
        <w:t xml:space="preserve">the MME </w:t>
      </w:r>
      <w:r>
        <w:rPr>
          <w:rFonts w:ascii="Arial" w:hAnsi="Arial" w:cs="Arial"/>
        </w:rPr>
        <w:t>has responded</w:t>
      </w:r>
      <w:r w:rsidR="003827B4">
        <w:rPr>
          <w:rFonts w:ascii="Arial" w:hAnsi="Arial" w:cs="Arial"/>
        </w:rPr>
        <w:t xml:space="preserve"> to attach with PDN connectivity request </w:t>
      </w:r>
      <w:r>
        <w:rPr>
          <w:rFonts w:ascii="Arial" w:hAnsi="Arial" w:cs="Arial"/>
        </w:rPr>
        <w:t xml:space="preserve">with ESM Dummy procedure. Even though standalone request is not forbidden, what would be the logic for </w:t>
      </w:r>
      <w:r w:rsidR="00554712">
        <w:rPr>
          <w:rFonts w:ascii="Arial" w:hAnsi="Arial" w:cs="Arial"/>
        </w:rPr>
        <w:t xml:space="preserve">a </w:t>
      </w:r>
      <w:r>
        <w:rPr>
          <w:rFonts w:ascii="Arial" w:hAnsi="Arial" w:cs="Arial"/>
        </w:rPr>
        <w:t xml:space="preserve">UE to request PDN connectivity after having been told by the serving PLMN that it cannot have PDN connection? </w:t>
      </w:r>
    </w:p>
    <w:p w:rsidR="00ED04D3" w:rsidRDefault="00ED04D3" w:rsidP="00327F50">
      <w:pPr>
        <w:rPr>
          <w:rFonts w:ascii="Arial" w:hAnsi="Arial" w:cs="Arial"/>
        </w:rPr>
      </w:pPr>
      <w:r>
        <w:rPr>
          <w:rFonts w:ascii="Arial" w:hAnsi="Arial" w:cs="Arial"/>
        </w:rPr>
        <w:lastRenderedPageBreak/>
        <w:t xml:space="preserve">The means to prevent such re-try would exist, but considering legacy UEs, both CIoT and non-CIoT, the use of </w:t>
      </w:r>
      <w:r w:rsidR="00AC3E71">
        <w:rPr>
          <w:rFonts w:ascii="Arial" w:hAnsi="Arial" w:cs="Arial"/>
        </w:rPr>
        <w:t>cause values that lead to perman</w:t>
      </w:r>
      <w:r>
        <w:rPr>
          <w:rFonts w:ascii="Arial" w:hAnsi="Arial" w:cs="Arial"/>
        </w:rPr>
        <w:t xml:space="preserve">ent prevention of PDN </w:t>
      </w:r>
      <w:r w:rsidR="00AC3E71">
        <w:rPr>
          <w:rFonts w:ascii="Arial" w:hAnsi="Arial" w:cs="Arial"/>
        </w:rPr>
        <w:t xml:space="preserve">connectivity </w:t>
      </w:r>
      <w:r w:rsidR="00554712">
        <w:rPr>
          <w:rFonts w:ascii="Arial" w:hAnsi="Arial" w:cs="Arial"/>
        </w:rPr>
        <w:t xml:space="preserve">would </w:t>
      </w:r>
      <w:r w:rsidR="00AC3E71">
        <w:rPr>
          <w:rFonts w:ascii="Arial" w:hAnsi="Arial" w:cs="Arial"/>
        </w:rPr>
        <w:t>have serious</w:t>
      </w:r>
      <w:r>
        <w:rPr>
          <w:rFonts w:ascii="Arial" w:hAnsi="Arial" w:cs="Arial"/>
        </w:rPr>
        <w:t xml:space="preserve"> consequences. </w:t>
      </w:r>
      <w:r w:rsidR="00AC3E71">
        <w:rPr>
          <w:rFonts w:ascii="Arial" w:hAnsi="Arial" w:cs="Arial"/>
        </w:rPr>
        <w:t>For PDN connection restriction feature</w:t>
      </w:r>
      <w:r w:rsidR="00554712">
        <w:rPr>
          <w:rFonts w:ascii="Arial" w:hAnsi="Arial" w:cs="Arial"/>
        </w:rPr>
        <w:t>,</w:t>
      </w:r>
      <w:r w:rsidR="00AC3E71">
        <w:rPr>
          <w:rFonts w:ascii="Arial" w:hAnsi="Arial" w:cs="Arial"/>
        </w:rPr>
        <w:t xml:space="preserve"> the cost of avoiding such compatibility problem is minimal. E</w:t>
      </w:r>
      <w:r>
        <w:rPr>
          <w:rFonts w:ascii="Arial" w:hAnsi="Arial" w:cs="Arial"/>
        </w:rPr>
        <w:t>ven if the UE re-tried standa</w:t>
      </w:r>
      <w:r w:rsidR="00FD6469">
        <w:rPr>
          <w:rFonts w:ascii="Arial" w:hAnsi="Arial" w:cs="Arial"/>
        </w:rPr>
        <w:t>lone PDN connectivity procedure after the MME refused the PDN connection request combined with attach, the MME can</w:t>
      </w:r>
      <w:r>
        <w:rPr>
          <w:rFonts w:ascii="Arial" w:hAnsi="Arial" w:cs="Arial"/>
        </w:rPr>
        <w:t xml:space="preserve"> reject the standalone procedure with an existing cause value that blocks further attempts.</w:t>
      </w:r>
    </w:p>
    <w:p w:rsidR="00ED04D3" w:rsidRPr="00ED04D3" w:rsidRDefault="00ED04D3" w:rsidP="00327F50">
      <w:pPr>
        <w:rPr>
          <w:rFonts w:ascii="Arial" w:hAnsi="Arial" w:cs="Arial"/>
        </w:rPr>
      </w:pPr>
      <w:r>
        <w:rPr>
          <w:rFonts w:ascii="Arial" w:hAnsi="Arial" w:cs="Arial"/>
          <w:b/>
        </w:rPr>
        <w:t>Conclusion</w:t>
      </w:r>
      <w:r w:rsidR="00554712">
        <w:rPr>
          <w:rFonts w:ascii="Arial" w:hAnsi="Arial" w:cs="Arial"/>
          <w:b/>
        </w:rPr>
        <w:t xml:space="preserve"> 1</w:t>
      </w:r>
      <w:r>
        <w:rPr>
          <w:rFonts w:ascii="Arial" w:hAnsi="Arial" w:cs="Arial"/>
          <w:b/>
        </w:rPr>
        <w:t xml:space="preserve">: </w:t>
      </w:r>
      <w:r>
        <w:rPr>
          <w:rFonts w:ascii="Arial" w:hAnsi="Arial" w:cs="Arial"/>
        </w:rPr>
        <w:t>Even if the UE fails to take notice of PDN restriction during attach procedure and re-tries standalone procedure, the network has got efficient means to block further attempts as necessary.</w:t>
      </w:r>
      <w:r w:rsidR="00554712">
        <w:rPr>
          <w:rFonts w:ascii="Arial" w:hAnsi="Arial" w:cs="Arial"/>
        </w:rPr>
        <w:t xml:space="preserve"> Consequently, the first potential drawback mention</w:t>
      </w:r>
      <w:r w:rsidR="00721AB8">
        <w:rPr>
          <w:rFonts w:ascii="Arial" w:hAnsi="Arial" w:cs="Arial"/>
        </w:rPr>
        <w:t>ed</w:t>
      </w:r>
      <w:r w:rsidR="00554712">
        <w:rPr>
          <w:rFonts w:ascii="Arial" w:hAnsi="Arial" w:cs="Arial"/>
        </w:rPr>
        <w:t xml:space="preserve"> in S2-170700 is a non-issue.</w:t>
      </w:r>
    </w:p>
    <w:p w:rsidR="006F167B" w:rsidRDefault="004915FE" w:rsidP="004915FE">
      <w:pPr>
        <w:pStyle w:val="Heading2"/>
        <w:rPr>
          <w:rFonts w:cs="Arial"/>
        </w:rPr>
      </w:pPr>
      <w:r>
        <w:t>2.2</w:t>
      </w:r>
      <w:r>
        <w:tab/>
      </w:r>
      <w:r w:rsidR="00721AB8">
        <w:t xml:space="preserve">Potential drawback #2: </w:t>
      </w:r>
      <w:r>
        <w:t>UE can bypass PDN connection restriction flag by not indicating support for connectionless attach</w:t>
      </w:r>
    </w:p>
    <w:p w:rsidR="00487FF8" w:rsidRDefault="00ED04D3" w:rsidP="00327F50">
      <w:pPr>
        <w:rPr>
          <w:rFonts w:ascii="Arial" w:hAnsi="Arial" w:cs="Arial"/>
        </w:rPr>
      </w:pPr>
      <w:r>
        <w:rPr>
          <w:rFonts w:ascii="Arial" w:hAnsi="Arial" w:cs="Arial"/>
        </w:rPr>
        <w:t xml:space="preserve">UE support of attach without PDN connection is intentionally part of the condition to trigger the ESM Dummy response from the MME. Technically the change could have been written for hard enforcement of the PDN connection restriction flag in the subscriber data without considering the UE capability at all, but that would block any service for any non-CIoT EPS UE. </w:t>
      </w:r>
      <w:r w:rsidR="00654706">
        <w:rPr>
          <w:rFonts w:ascii="Arial" w:hAnsi="Arial" w:cs="Arial"/>
        </w:rPr>
        <w:t xml:space="preserve">The same denial of service via having to reject the attach would result from a supporting UE roaming to PLMN where the MME does not support attach without PDN connection. </w:t>
      </w:r>
      <w:r w:rsidR="00D3471B">
        <w:rPr>
          <w:rFonts w:ascii="Arial" w:hAnsi="Arial" w:cs="Arial"/>
        </w:rPr>
        <w:t xml:space="preserve">To avoid compatibility problems with non-supporting UEs, allowing the attach to proceed was considered more important than preventing the PDN connection establishment in all configurations. </w:t>
      </w:r>
    </w:p>
    <w:p w:rsidR="00487FF8" w:rsidRDefault="00487FF8" w:rsidP="00327F50">
      <w:pPr>
        <w:rPr>
          <w:rFonts w:ascii="Arial" w:hAnsi="Arial" w:cs="Arial"/>
        </w:rPr>
      </w:pPr>
      <w:r>
        <w:rPr>
          <w:rFonts w:ascii="Arial" w:hAnsi="Arial" w:cs="Arial"/>
        </w:rPr>
        <w:t>If consistent blocking of PDN connection</w:t>
      </w:r>
      <w:r w:rsidR="00721AB8">
        <w:rPr>
          <w:rFonts w:ascii="Arial" w:hAnsi="Arial" w:cs="Arial"/>
        </w:rPr>
        <w:t>s</w:t>
      </w:r>
      <w:r w:rsidR="00D652D9">
        <w:rPr>
          <w:rFonts w:ascii="Arial" w:hAnsi="Arial" w:cs="Arial"/>
        </w:rPr>
        <w:t xml:space="preserve"> for the subscriber</w:t>
      </w:r>
      <w:r>
        <w:rPr>
          <w:rFonts w:ascii="Arial" w:hAnsi="Arial" w:cs="Arial"/>
        </w:rPr>
        <w:t xml:space="preserve"> in any environment is needed, that can be achieved by not associating any subscribed APNs to the user’s subscriber data.</w:t>
      </w:r>
      <w:r w:rsidR="00C32EA4">
        <w:rPr>
          <w:rFonts w:ascii="Arial" w:hAnsi="Arial" w:cs="Arial"/>
        </w:rPr>
        <w:t xml:space="preserve"> This approach does not meet the backwards compatibility requirement, as the attach will fail if the UE does not support attach without PDN connection. </w:t>
      </w:r>
    </w:p>
    <w:p w:rsidR="0003193C" w:rsidRPr="004F4D73" w:rsidRDefault="00CF695E" w:rsidP="00327F50">
      <w:pPr>
        <w:rPr>
          <w:rFonts w:ascii="Arial" w:hAnsi="Arial" w:cs="Arial"/>
          <w:color w:val="auto"/>
        </w:rPr>
      </w:pPr>
      <w:r>
        <w:rPr>
          <w:rFonts w:ascii="Arial" w:hAnsi="Arial" w:cs="Arial"/>
          <w:color w:val="auto"/>
        </w:rPr>
        <w:t>F</w:t>
      </w:r>
      <w:r w:rsidRPr="00D75CBA">
        <w:rPr>
          <w:rFonts w:ascii="Arial" w:hAnsi="Arial" w:cs="Arial"/>
          <w:color w:val="auto"/>
        </w:rPr>
        <w:t>or backward</w:t>
      </w:r>
      <w:r>
        <w:rPr>
          <w:rFonts w:ascii="Arial" w:hAnsi="Arial" w:cs="Arial"/>
          <w:color w:val="auto"/>
        </w:rPr>
        <w:t>s</w:t>
      </w:r>
      <w:r w:rsidRPr="00D75CBA">
        <w:rPr>
          <w:rFonts w:ascii="Arial" w:hAnsi="Arial" w:cs="Arial"/>
          <w:color w:val="auto"/>
        </w:rPr>
        <w:t xml:space="preserve"> compatibility reason</w:t>
      </w:r>
      <w:r>
        <w:rPr>
          <w:rFonts w:ascii="Arial" w:hAnsi="Arial" w:cs="Arial"/>
          <w:color w:val="auto"/>
        </w:rPr>
        <w:t>s</w:t>
      </w:r>
      <w:r w:rsidRPr="00D75CBA">
        <w:rPr>
          <w:rFonts w:ascii="Arial" w:hAnsi="Arial" w:cs="Arial"/>
          <w:color w:val="auto"/>
        </w:rPr>
        <w:t>, legacy UE</w:t>
      </w:r>
      <w:r>
        <w:rPr>
          <w:rFonts w:ascii="Arial" w:hAnsi="Arial" w:cs="Arial"/>
          <w:color w:val="auto"/>
        </w:rPr>
        <w:t>s</w:t>
      </w:r>
      <w:r w:rsidRPr="00D75CBA">
        <w:rPr>
          <w:rFonts w:ascii="Arial" w:hAnsi="Arial" w:cs="Arial"/>
          <w:color w:val="auto"/>
        </w:rPr>
        <w:t xml:space="preserve"> </w:t>
      </w:r>
      <w:r>
        <w:rPr>
          <w:rFonts w:ascii="Arial" w:hAnsi="Arial" w:cs="Arial"/>
          <w:color w:val="auto"/>
        </w:rPr>
        <w:t>must</w:t>
      </w:r>
      <w:r w:rsidRPr="00D75CBA">
        <w:rPr>
          <w:rFonts w:ascii="Arial" w:hAnsi="Arial" w:cs="Arial"/>
          <w:color w:val="auto"/>
        </w:rPr>
        <w:t xml:space="preserve"> not be impacted as they do not support attach without PDN connection.</w:t>
      </w:r>
      <w:r>
        <w:rPr>
          <w:rFonts w:ascii="Arial" w:hAnsi="Arial" w:cs="Arial"/>
          <w:color w:val="auto"/>
        </w:rPr>
        <w:t xml:space="preserve"> </w:t>
      </w:r>
      <w:r w:rsidR="0003193C" w:rsidRPr="004F4D73">
        <w:rPr>
          <w:rFonts w:ascii="Arial" w:hAnsi="Arial" w:cs="Arial"/>
          <w:color w:val="auto"/>
        </w:rPr>
        <w:t>According to 3GPP TS 24.301</w:t>
      </w:r>
      <w:r w:rsidR="006A7CD3" w:rsidRPr="004F4D73">
        <w:rPr>
          <w:rFonts w:ascii="Arial" w:hAnsi="Arial" w:cs="Arial"/>
          <w:color w:val="auto"/>
        </w:rPr>
        <w:t xml:space="preserve"> clause 5.5.1.2.2</w:t>
      </w:r>
      <w:r w:rsidR="0003193C" w:rsidRPr="004F4D73">
        <w:rPr>
          <w:rFonts w:ascii="Arial" w:hAnsi="Arial" w:cs="Arial"/>
          <w:color w:val="auto"/>
        </w:rPr>
        <w:t xml:space="preserve">, a </w:t>
      </w:r>
      <w:r w:rsidR="006A7CD3" w:rsidRPr="004F4D73">
        <w:rPr>
          <w:rFonts w:ascii="Arial" w:hAnsi="Arial" w:cs="Arial"/>
          <w:color w:val="auto"/>
        </w:rPr>
        <w:t xml:space="preserve">UE that supports </w:t>
      </w:r>
      <w:r w:rsidR="0003193C" w:rsidRPr="004F4D73">
        <w:rPr>
          <w:rFonts w:ascii="Arial" w:hAnsi="Arial" w:cs="Arial"/>
          <w:color w:val="auto"/>
        </w:rPr>
        <w:t xml:space="preserve">CIoT </w:t>
      </w:r>
      <w:r w:rsidR="006A7CD3" w:rsidRPr="004F4D73">
        <w:rPr>
          <w:rFonts w:ascii="Arial" w:hAnsi="Arial" w:cs="Arial"/>
          <w:color w:val="auto"/>
        </w:rPr>
        <w:t>EPS Optimisations</w:t>
      </w:r>
      <w:r w:rsidR="0003193C" w:rsidRPr="004F4D73">
        <w:rPr>
          <w:rFonts w:ascii="Arial" w:hAnsi="Arial" w:cs="Arial"/>
          <w:color w:val="auto"/>
        </w:rPr>
        <w:t xml:space="preserve"> shall indicate whether it supports attach without PDN connection or not.</w:t>
      </w:r>
      <w:r w:rsidR="00E71753" w:rsidRPr="004F4D73">
        <w:rPr>
          <w:rFonts w:ascii="Arial" w:hAnsi="Arial" w:cs="Arial"/>
          <w:color w:val="auto"/>
        </w:rPr>
        <w:t xml:space="preserve"> Note that </w:t>
      </w:r>
      <w:r>
        <w:rPr>
          <w:rFonts w:ascii="Arial" w:hAnsi="Arial" w:cs="Arial"/>
          <w:color w:val="auto"/>
        </w:rPr>
        <w:t xml:space="preserve">even the handling of non-compliant UE that fails to indicate the support of attach without PDN connection even when it actually does support it is predictable, as this case is treated by the network the same way as any legacy UE that does not support the feature. </w:t>
      </w:r>
    </w:p>
    <w:p w:rsidR="00654706" w:rsidRDefault="00654706" w:rsidP="00327F50">
      <w:pPr>
        <w:rPr>
          <w:rFonts w:ascii="Arial" w:hAnsi="Arial" w:cs="Arial"/>
        </w:rPr>
      </w:pPr>
      <w:r>
        <w:rPr>
          <w:rFonts w:ascii="Arial" w:hAnsi="Arial" w:cs="Arial"/>
          <w:b/>
        </w:rPr>
        <w:t>Conclusion</w:t>
      </w:r>
      <w:r w:rsidR="00721AB8">
        <w:rPr>
          <w:rFonts w:ascii="Arial" w:hAnsi="Arial" w:cs="Arial"/>
          <w:b/>
        </w:rPr>
        <w:t xml:space="preserve"> 2</w:t>
      </w:r>
      <w:r>
        <w:rPr>
          <w:rFonts w:ascii="Arial" w:hAnsi="Arial" w:cs="Arial"/>
          <w:b/>
        </w:rPr>
        <w:t xml:space="preserve">: </w:t>
      </w:r>
      <w:r>
        <w:rPr>
          <w:rFonts w:ascii="Arial" w:hAnsi="Arial" w:cs="Arial"/>
        </w:rPr>
        <w:t>The intention of the PDN connection restriction flag is not to force the UE to select another PLMN or to camp on cell in limited service, but to avoid unnecessary PDN connection establishment</w:t>
      </w:r>
      <w:r w:rsidR="00721AB8">
        <w:rPr>
          <w:rFonts w:ascii="Arial" w:hAnsi="Arial" w:cs="Arial"/>
        </w:rPr>
        <w:t>s</w:t>
      </w:r>
      <w:r>
        <w:rPr>
          <w:rFonts w:ascii="Arial" w:hAnsi="Arial" w:cs="Arial"/>
        </w:rPr>
        <w:t xml:space="preserve"> for those subscribers who by subscription do not need it, except for compatibility with EPS legacy. </w:t>
      </w:r>
      <w:r w:rsidR="00742917">
        <w:rPr>
          <w:rFonts w:ascii="Arial" w:hAnsi="Arial" w:cs="Arial"/>
        </w:rPr>
        <w:t xml:space="preserve">A 3GPP compliant UE shall indicate its CIoT attach capabilities accurately. </w:t>
      </w:r>
      <w:r w:rsidR="00721AB8">
        <w:rPr>
          <w:rFonts w:ascii="Arial" w:hAnsi="Arial" w:cs="Arial"/>
        </w:rPr>
        <w:t xml:space="preserve">Therefore, the second potential drawback of S2-170700 is </w:t>
      </w:r>
      <w:r w:rsidR="00075F69">
        <w:rPr>
          <w:rFonts w:ascii="Arial" w:hAnsi="Arial" w:cs="Arial"/>
        </w:rPr>
        <w:t>not applicable.</w:t>
      </w:r>
    </w:p>
    <w:p w:rsidR="006F167B" w:rsidRDefault="004915FE" w:rsidP="004915FE">
      <w:pPr>
        <w:pStyle w:val="Heading2"/>
        <w:rPr>
          <w:rFonts w:cs="Arial"/>
        </w:rPr>
      </w:pPr>
      <w:r>
        <w:t>2.3</w:t>
      </w:r>
      <w:r>
        <w:tab/>
        <w:t>Claimed UE compatibility issue with spontaneous ESM Dummy procedure</w:t>
      </w:r>
    </w:p>
    <w:p w:rsidR="006F167B" w:rsidRDefault="00654706" w:rsidP="006F167B">
      <w:pPr>
        <w:rPr>
          <w:rFonts w:ascii="Arial" w:hAnsi="Arial" w:cs="Arial"/>
        </w:rPr>
      </w:pPr>
      <w:r>
        <w:rPr>
          <w:rFonts w:ascii="Arial" w:hAnsi="Arial" w:cs="Arial"/>
        </w:rPr>
        <w:t xml:space="preserve">The ESM Dummy procedure shall be used by the MME if the UE supporting attach without PDN connection requests it by initiating ESM Dummy procedure as part of the attach procedure. In this situation, the MME has no choice, but to follow the procedure that the UE started. The stage 3 details are specified in TS 24.301 clause 5.5.1.2.4. </w:t>
      </w:r>
    </w:p>
    <w:p w:rsidR="00AD03F0" w:rsidRDefault="00AD03F0" w:rsidP="006F167B">
      <w:pPr>
        <w:rPr>
          <w:rFonts w:ascii="Arial" w:hAnsi="Arial" w:cs="Arial"/>
        </w:rPr>
      </w:pPr>
      <w:r>
        <w:rPr>
          <w:rFonts w:ascii="Arial" w:hAnsi="Arial" w:cs="Arial"/>
        </w:rPr>
        <w:t xml:space="preserve">Some companies were concerned in SA2 #118bis that the UE behaviour upon receiving ESM Dummy without initiating ESM Dummy procedure </w:t>
      </w:r>
      <w:r w:rsidR="00C02586">
        <w:rPr>
          <w:rFonts w:ascii="Arial" w:hAnsi="Arial" w:cs="Arial"/>
        </w:rPr>
        <w:t>was</w:t>
      </w:r>
      <w:r>
        <w:rPr>
          <w:rFonts w:ascii="Arial" w:hAnsi="Arial" w:cs="Arial"/>
        </w:rPr>
        <w:t xml:space="preserve"> not specified, and that therefore the UE behaviour would be unpredictable. </w:t>
      </w:r>
    </w:p>
    <w:p w:rsidR="00AD03F0" w:rsidRDefault="00CF695E" w:rsidP="006F167B">
      <w:pPr>
        <w:rPr>
          <w:rFonts w:ascii="Arial" w:hAnsi="Arial" w:cs="Arial"/>
        </w:rPr>
      </w:pPr>
      <w:r>
        <w:rPr>
          <w:rFonts w:ascii="Arial" w:hAnsi="Arial" w:cs="Arial"/>
        </w:rPr>
        <w:t>B</w:t>
      </w:r>
      <w:r w:rsidR="00755C92">
        <w:rPr>
          <w:rFonts w:ascii="Arial" w:hAnsi="Arial" w:cs="Arial"/>
        </w:rPr>
        <w:t>ased on current stage 3</w:t>
      </w:r>
      <w:r w:rsidR="00AD03F0">
        <w:rPr>
          <w:rFonts w:ascii="Arial" w:hAnsi="Arial" w:cs="Arial"/>
        </w:rPr>
        <w:t xml:space="preserve">, also the UE handling of the ESM Dummy response from the network without requesting one </w:t>
      </w:r>
      <w:r>
        <w:rPr>
          <w:rFonts w:ascii="Arial" w:hAnsi="Arial" w:cs="Arial"/>
        </w:rPr>
        <w:t>was</w:t>
      </w:r>
      <w:r w:rsidR="00AD03F0">
        <w:rPr>
          <w:rFonts w:ascii="Arial" w:hAnsi="Arial" w:cs="Arial"/>
        </w:rPr>
        <w:t xml:space="preserve"> specified</w:t>
      </w:r>
      <w:r>
        <w:rPr>
          <w:rFonts w:ascii="Arial" w:hAnsi="Arial" w:cs="Arial"/>
        </w:rPr>
        <w:t xml:space="preserve"> already before the addition of PDN connection restriction flag</w:t>
      </w:r>
      <w:r w:rsidR="00AD03F0">
        <w:rPr>
          <w:rFonts w:ascii="Arial" w:hAnsi="Arial" w:cs="Arial"/>
        </w:rPr>
        <w:t xml:space="preserve">. The same TS 24.301 clause 5.5.1.2.4 that specifies the MME mandate to respond with ESM Dummy if it is requested by the UE does also specify for various error handling cases the processing of ATTACH ACCEPT with ESM Dummy without having included ESM Dummy in the ATTACH REQUEST. </w:t>
      </w:r>
      <w:r w:rsidR="0018625B">
        <w:rPr>
          <w:rFonts w:ascii="Arial" w:hAnsi="Arial" w:cs="Arial"/>
        </w:rPr>
        <w:t xml:space="preserve">This scenario did exist for ESM layer error handling even before the introduction of PDN connection restriction flag, and the UE processing </w:t>
      </w:r>
      <w:r w:rsidR="0018625B">
        <w:rPr>
          <w:rFonts w:ascii="Arial" w:hAnsi="Arial" w:cs="Arial"/>
        </w:rPr>
        <w:lastRenderedPageBreak/>
        <w:t>rules for any UE supporting attach without PDN connection are included in the reference specification before the above mentioned CRs were approved. Quote from TS 24.301 clause 5.5.1.2.4:</w:t>
      </w:r>
    </w:p>
    <w:p w:rsidR="0018625B" w:rsidRDefault="0018625B" w:rsidP="0018625B">
      <w:pPr>
        <w:ind w:left="1134"/>
        <w:rPr>
          <w:rFonts w:ascii="Arial" w:hAnsi="Arial" w:cs="Arial"/>
        </w:rPr>
      </w:pPr>
      <w:r>
        <w:rPr>
          <w:rFonts w:ascii="Arial" w:hAnsi="Arial" w:cs="Arial"/>
        </w:rPr>
        <w:t>“</w:t>
      </w:r>
      <w:r w:rsidRPr="00C02586">
        <w:t>If</w:t>
      </w:r>
      <w:r w:rsidRPr="00C50A3A">
        <w:t xml:space="preserve"> EMM-REGISTERED without PDN connection is supported by the UE and the MME, and the UE receives the ATTACH ACCEPT message combined with an ESM DUMMY MESSAGE, </w:t>
      </w:r>
      <w:r w:rsidRPr="00C02586">
        <w:rPr>
          <w:highlight w:val="yellow"/>
        </w:rPr>
        <w:t>the UE shall send an ATTACH COMPLETE message together with an ESM DUMMY MESSAGE contained in the ESM message container information element to the network.</w:t>
      </w:r>
      <w:r>
        <w:rPr>
          <w:rFonts w:ascii="Arial" w:hAnsi="Arial" w:cs="Arial"/>
        </w:rPr>
        <w:t>”</w:t>
      </w:r>
    </w:p>
    <w:p w:rsidR="0018625B" w:rsidRDefault="0018625B" w:rsidP="006F167B">
      <w:pPr>
        <w:rPr>
          <w:rFonts w:ascii="Arial" w:hAnsi="Arial" w:cs="Arial"/>
        </w:rPr>
      </w:pPr>
      <w:r>
        <w:rPr>
          <w:rFonts w:ascii="Arial" w:hAnsi="Arial" w:cs="Arial"/>
        </w:rPr>
        <w:t>So the UE processing of ESM Dummy response from the network in the case when the UE did not request ESM Dummy is to complete the attach procedure, to echo back the ESM Dummy to acknowledge attach without PDN connection, and to consider the attach procedure as successful, b</w:t>
      </w:r>
      <w:r w:rsidR="00141BF6">
        <w:rPr>
          <w:rFonts w:ascii="Arial" w:hAnsi="Arial" w:cs="Arial"/>
        </w:rPr>
        <w:t>ut the ESM procedure as failed.</w:t>
      </w:r>
    </w:p>
    <w:p w:rsidR="00141BF6" w:rsidRDefault="00141BF6" w:rsidP="006F167B">
      <w:pPr>
        <w:rPr>
          <w:rFonts w:ascii="Arial" w:hAnsi="Arial" w:cs="Arial"/>
        </w:rPr>
      </w:pPr>
      <w:r>
        <w:rPr>
          <w:rFonts w:ascii="Arial" w:hAnsi="Arial" w:cs="Arial"/>
        </w:rPr>
        <w:t xml:space="preserve">Both UE initiated and MME initiated ESM Dummy procedures were introduced at the same time, in the same TS version of 24.301, so a compliant UE that indicates support for CIoT EPS Optimisation attach without PDN connection </w:t>
      </w:r>
      <w:r w:rsidR="00755C92">
        <w:rPr>
          <w:rFonts w:ascii="Arial" w:hAnsi="Arial" w:cs="Arial"/>
        </w:rPr>
        <w:t>has to</w:t>
      </w:r>
      <w:r>
        <w:rPr>
          <w:rFonts w:ascii="Arial" w:hAnsi="Arial" w:cs="Arial"/>
        </w:rPr>
        <w:t xml:space="preserve"> support both ESM Dummy procedures. </w:t>
      </w:r>
    </w:p>
    <w:p w:rsidR="0018625B" w:rsidRPr="0018625B" w:rsidRDefault="0018625B" w:rsidP="006F167B">
      <w:pPr>
        <w:rPr>
          <w:rFonts w:ascii="Arial" w:hAnsi="Arial" w:cs="Arial"/>
        </w:rPr>
      </w:pPr>
      <w:r>
        <w:rPr>
          <w:rFonts w:ascii="Arial" w:hAnsi="Arial" w:cs="Arial"/>
          <w:b/>
        </w:rPr>
        <w:t>Conclusion</w:t>
      </w:r>
      <w:r w:rsidR="00C02586">
        <w:rPr>
          <w:rFonts w:ascii="Arial" w:hAnsi="Arial" w:cs="Arial"/>
          <w:b/>
        </w:rPr>
        <w:t xml:space="preserve"> 3</w:t>
      </w:r>
      <w:r>
        <w:rPr>
          <w:rFonts w:ascii="Arial" w:hAnsi="Arial" w:cs="Arial"/>
          <w:b/>
        </w:rPr>
        <w:t xml:space="preserve">: </w:t>
      </w:r>
      <w:r>
        <w:rPr>
          <w:rFonts w:ascii="Arial" w:hAnsi="Arial" w:cs="Arial"/>
        </w:rPr>
        <w:t>The UE processing of the ESM Dummy is specified, and it is what we need for the PDN connection restriction use case, i.e.</w:t>
      </w:r>
      <w:r w:rsidR="00C02586">
        <w:rPr>
          <w:rFonts w:ascii="Arial" w:hAnsi="Arial" w:cs="Arial"/>
        </w:rPr>
        <w:t>,</w:t>
      </w:r>
      <w:r>
        <w:rPr>
          <w:rFonts w:ascii="Arial" w:hAnsi="Arial" w:cs="Arial"/>
        </w:rPr>
        <w:t xml:space="preserve"> to remain attached without PDN connectivity in those cases where this capability is supported by the UE and the network. </w:t>
      </w:r>
    </w:p>
    <w:p w:rsidR="004915FE" w:rsidRDefault="004915FE" w:rsidP="004915FE">
      <w:pPr>
        <w:pStyle w:val="Heading2"/>
      </w:pPr>
      <w:r>
        <w:t>2.4</w:t>
      </w:r>
      <w:r>
        <w:tab/>
        <w:t>Compatibility with non-CIoT UEs</w:t>
      </w:r>
    </w:p>
    <w:p w:rsidR="004915FE" w:rsidRDefault="00C464DC" w:rsidP="006F167B">
      <w:pPr>
        <w:rPr>
          <w:rFonts w:ascii="Arial" w:hAnsi="Arial" w:cs="Arial"/>
        </w:rPr>
      </w:pPr>
      <w:r>
        <w:rPr>
          <w:rFonts w:ascii="Arial" w:hAnsi="Arial" w:cs="Arial"/>
        </w:rPr>
        <w:t xml:space="preserve">As can be seen in the revision history of the approved CRs, the design choices indicated in clause 2.1 and 2.2 above were considered in the CT groups. Even the proponents of this feature initially suggested </w:t>
      </w:r>
      <w:r w:rsidR="00C02586">
        <w:rPr>
          <w:rFonts w:ascii="Arial" w:hAnsi="Arial" w:cs="Arial"/>
        </w:rPr>
        <w:t xml:space="preserve">a </w:t>
      </w:r>
      <w:r>
        <w:rPr>
          <w:rFonts w:ascii="Arial" w:hAnsi="Arial" w:cs="Arial"/>
        </w:rPr>
        <w:t>strict</w:t>
      </w:r>
      <w:r w:rsidR="00C02586">
        <w:rPr>
          <w:rFonts w:ascii="Arial" w:hAnsi="Arial" w:cs="Arial"/>
        </w:rPr>
        <w:t>er</w:t>
      </w:r>
      <w:r>
        <w:rPr>
          <w:rFonts w:ascii="Arial" w:hAnsi="Arial" w:cs="Arial"/>
        </w:rPr>
        <w:t xml:space="preserve"> approach to the network enforcement of PDN connection restriction flag. </w:t>
      </w:r>
    </w:p>
    <w:p w:rsidR="00C464DC" w:rsidRDefault="00C464DC" w:rsidP="006F167B">
      <w:pPr>
        <w:rPr>
          <w:rFonts w:ascii="Arial" w:hAnsi="Arial" w:cs="Arial"/>
        </w:rPr>
      </w:pPr>
      <w:r>
        <w:rPr>
          <w:rFonts w:ascii="Arial" w:hAnsi="Arial" w:cs="Arial"/>
        </w:rPr>
        <w:t xml:space="preserve">However, after discussions in the CT WGs, the CRs were intentionally softened to primarily seek compatibility between the supported UE and network capabilities, and only secondarily drop those PDN connections that can be safely removed or prevented without breaking the compatibility and thus forcing also the attach procedure to fail. </w:t>
      </w:r>
    </w:p>
    <w:p w:rsidR="00C464DC" w:rsidRDefault="00C464DC" w:rsidP="006F167B">
      <w:pPr>
        <w:rPr>
          <w:rFonts w:ascii="Arial" w:hAnsi="Arial" w:cs="Arial"/>
        </w:rPr>
      </w:pPr>
      <w:r>
        <w:rPr>
          <w:rFonts w:ascii="Arial" w:hAnsi="Arial" w:cs="Arial"/>
        </w:rPr>
        <w:t xml:space="preserve">The main argument to this direction is that if a USIM related with PDN connection restriction flag set in the subscriber data is inserted in either non-CIoT EPS UE or in a CIoT UE that does not support attach without PDN connection, then strict enforcement of PDN connection restriction flag without consideration of the UE capabilities would lead to attach failure and total denial of any service. The same outcome would result from a supporting UE roaming to </w:t>
      </w:r>
      <w:r w:rsidR="00C02586">
        <w:rPr>
          <w:rFonts w:ascii="Arial" w:hAnsi="Arial" w:cs="Arial"/>
        </w:rPr>
        <w:t xml:space="preserve">a </w:t>
      </w:r>
      <w:r w:rsidR="00775F1D">
        <w:rPr>
          <w:rFonts w:ascii="Arial" w:hAnsi="Arial" w:cs="Arial"/>
        </w:rPr>
        <w:t>PLMN (area) where the MME cannot support attach without PDN connection.</w:t>
      </w:r>
    </w:p>
    <w:p w:rsidR="00775F1D" w:rsidRPr="00775F1D" w:rsidRDefault="00775F1D" w:rsidP="006F167B">
      <w:pPr>
        <w:rPr>
          <w:rFonts w:ascii="Arial" w:hAnsi="Arial" w:cs="Arial"/>
        </w:rPr>
      </w:pPr>
      <w:r>
        <w:rPr>
          <w:rFonts w:ascii="Arial" w:hAnsi="Arial" w:cs="Arial"/>
          <w:b/>
        </w:rPr>
        <w:t>Conclusion</w:t>
      </w:r>
      <w:r w:rsidR="00C02586">
        <w:rPr>
          <w:rFonts w:ascii="Arial" w:hAnsi="Arial" w:cs="Arial"/>
          <w:b/>
        </w:rPr>
        <w:t xml:space="preserve"> 4</w:t>
      </w:r>
      <w:r>
        <w:rPr>
          <w:rFonts w:ascii="Arial" w:hAnsi="Arial" w:cs="Arial"/>
          <w:b/>
        </w:rPr>
        <w:t xml:space="preserve">: </w:t>
      </w:r>
      <w:r>
        <w:rPr>
          <w:rFonts w:ascii="Arial" w:hAnsi="Arial" w:cs="Arial"/>
        </w:rPr>
        <w:t xml:space="preserve">The compatibility with any kind of UE or network implementation is more important that tearing down all PDN connections even at the cost of losing all services and forcing the UE to attach to competitor PLMN, if available. </w:t>
      </w:r>
      <w:r w:rsidR="00A856EF">
        <w:rPr>
          <w:rFonts w:ascii="Arial" w:hAnsi="Arial" w:cs="Arial"/>
        </w:rPr>
        <w:t xml:space="preserve">Since the already specified network initiated ESM Dummy procedure is used, not ticking the UE impact on the CT1 CR is correct. </w:t>
      </w:r>
    </w:p>
    <w:p w:rsidR="004915FE" w:rsidRDefault="004915FE" w:rsidP="004915FE">
      <w:pPr>
        <w:pStyle w:val="Heading2"/>
      </w:pPr>
      <w:r>
        <w:t>2.5</w:t>
      </w:r>
      <w:r>
        <w:tab/>
        <w:t>Selection of cause values to reject the UE</w:t>
      </w:r>
    </w:p>
    <w:p w:rsidR="004915FE" w:rsidRDefault="00C03809" w:rsidP="006F167B">
      <w:pPr>
        <w:rPr>
          <w:rFonts w:ascii="Arial" w:hAnsi="Arial" w:cs="Arial"/>
        </w:rPr>
      </w:pPr>
      <w:r>
        <w:rPr>
          <w:rFonts w:ascii="Arial" w:hAnsi="Arial" w:cs="Arial"/>
        </w:rPr>
        <w:t xml:space="preserve">The principle of handling abnormal and error situations is that the network informs the UE of the reason for the failure in a cause value, and the UE processing of each cause value is strictly specified. </w:t>
      </w:r>
      <w:r w:rsidR="00C02586">
        <w:rPr>
          <w:rFonts w:ascii="Arial" w:hAnsi="Arial" w:cs="Arial"/>
        </w:rPr>
        <w:t>In t</w:t>
      </w:r>
      <w:r>
        <w:rPr>
          <w:rFonts w:ascii="Arial" w:hAnsi="Arial" w:cs="Arial"/>
        </w:rPr>
        <w:t xml:space="preserve">his way, the </w:t>
      </w:r>
      <w:r w:rsidR="009E796B">
        <w:rPr>
          <w:rFonts w:ascii="Arial" w:hAnsi="Arial" w:cs="Arial"/>
        </w:rPr>
        <w:t>network can</w:t>
      </w:r>
      <w:r>
        <w:rPr>
          <w:rFonts w:ascii="Arial" w:hAnsi="Arial" w:cs="Arial"/>
        </w:rPr>
        <w:t xml:space="preserve"> choose the most appropriate cause value related to each failure, with confidence that the UE will behave accordingly. </w:t>
      </w:r>
    </w:p>
    <w:p w:rsidR="00C03809" w:rsidRDefault="00C03809" w:rsidP="006F167B">
      <w:pPr>
        <w:rPr>
          <w:rFonts w:ascii="Arial" w:hAnsi="Arial" w:cs="Arial"/>
        </w:rPr>
      </w:pPr>
      <w:r>
        <w:rPr>
          <w:rFonts w:ascii="Arial" w:hAnsi="Arial" w:cs="Arial"/>
        </w:rPr>
        <w:t xml:space="preserve">When adding a new error case or abnormal case, it is commonplace to consider whether an existing cause value with its already specified processing in the UE can be </w:t>
      </w:r>
      <w:r w:rsidR="00C02586">
        <w:rPr>
          <w:rFonts w:ascii="Arial" w:hAnsi="Arial" w:cs="Arial"/>
        </w:rPr>
        <w:t>re</w:t>
      </w:r>
      <w:r>
        <w:rPr>
          <w:rFonts w:ascii="Arial" w:hAnsi="Arial" w:cs="Arial"/>
        </w:rPr>
        <w:t>used, or is it justified to add new cause value. Also in this case, a new cause value was considered</w:t>
      </w:r>
      <w:r w:rsidR="00C02586">
        <w:rPr>
          <w:rFonts w:ascii="Arial" w:hAnsi="Arial" w:cs="Arial"/>
        </w:rPr>
        <w:t>. However,</w:t>
      </w:r>
      <w:r>
        <w:rPr>
          <w:rFonts w:ascii="Arial" w:hAnsi="Arial" w:cs="Arial"/>
        </w:rPr>
        <w:t xml:space="preserve"> eventually the decision was taken in favour of soft blocking unnecessary PDN connections via ESM Dummy procedure, and having a variety of ESM cause values available for the network if the UE still followed up with </w:t>
      </w:r>
      <w:r w:rsidR="00C02586">
        <w:rPr>
          <w:rFonts w:ascii="Arial" w:hAnsi="Arial" w:cs="Arial"/>
        </w:rPr>
        <w:t xml:space="preserve">the </w:t>
      </w:r>
      <w:r>
        <w:rPr>
          <w:rFonts w:ascii="Arial" w:hAnsi="Arial" w:cs="Arial"/>
        </w:rPr>
        <w:t xml:space="preserve">standalone ESM procedure after having been blocked in the ESM level during attach procedure. </w:t>
      </w:r>
    </w:p>
    <w:p w:rsidR="00C03809" w:rsidRDefault="009E796B" w:rsidP="006F167B">
      <w:pPr>
        <w:rPr>
          <w:rFonts w:ascii="Arial" w:hAnsi="Arial" w:cs="Arial"/>
        </w:rPr>
      </w:pPr>
      <w:r>
        <w:rPr>
          <w:rFonts w:ascii="Arial" w:hAnsi="Arial" w:cs="Arial"/>
        </w:rPr>
        <w:t>For the sake of backward compatibility, e</w:t>
      </w:r>
      <w:r w:rsidR="00C03809">
        <w:rPr>
          <w:rFonts w:ascii="Arial" w:hAnsi="Arial" w:cs="Arial"/>
        </w:rPr>
        <w:t>ven the introduct</w:t>
      </w:r>
      <w:r>
        <w:rPr>
          <w:rFonts w:ascii="Arial" w:hAnsi="Arial" w:cs="Arial"/>
        </w:rPr>
        <w:t xml:space="preserve">ion of a new cause value must consider the already specified handling of unknown cause values. </w:t>
      </w:r>
      <w:r w:rsidR="00AC3E71">
        <w:rPr>
          <w:rFonts w:ascii="Arial" w:hAnsi="Arial" w:cs="Arial"/>
        </w:rPr>
        <w:t xml:space="preserve">This was also studied as one option, but </w:t>
      </w:r>
      <w:r w:rsidR="00C02586">
        <w:rPr>
          <w:rFonts w:ascii="Arial" w:hAnsi="Arial" w:cs="Arial"/>
        </w:rPr>
        <w:t xml:space="preserve">was </w:t>
      </w:r>
      <w:r w:rsidR="00AC3E71">
        <w:rPr>
          <w:rFonts w:ascii="Arial" w:hAnsi="Arial" w:cs="Arial"/>
        </w:rPr>
        <w:t>eventually abandoned</w:t>
      </w:r>
      <w:r w:rsidR="00D676EC">
        <w:rPr>
          <w:rFonts w:ascii="Arial" w:hAnsi="Arial" w:cs="Arial"/>
        </w:rPr>
        <w:t>. Also this case is specified, but</w:t>
      </w:r>
      <w:r w:rsidR="00AC3E71">
        <w:rPr>
          <w:rFonts w:ascii="Arial" w:hAnsi="Arial" w:cs="Arial"/>
        </w:rPr>
        <w:t xml:space="preserve"> </w:t>
      </w:r>
      <w:r w:rsidR="00D676EC">
        <w:rPr>
          <w:rFonts w:ascii="Arial" w:hAnsi="Arial" w:cs="Arial"/>
        </w:rPr>
        <w:t xml:space="preserve">according to TS 24.301 clause 6.5.1.4.3, the UE behaviour depends on </w:t>
      </w:r>
      <w:r w:rsidR="009C485E">
        <w:rPr>
          <w:rFonts w:ascii="Arial" w:hAnsi="Arial" w:cs="Arial"/>
        </w:rPr>
        <w:t xml:space="preserve">the following aspects: </w:t>
      </w:r>
      <w:r w:rsidR="00D676EC">
        <w:rPr>
          <w:rFonts w:ascii="Arial" w:hAnsi="Arial" w:cs="Arial"/>
        </w:rPr>
        <w:t xml:space="preserve">the indicated cause value, back-off timer, the integrity protection of the </w:t>
      </w:r>
      <w:r w:rsidR="004623CB">
        <w:rPr>
          <w:rFonts w:ascii="Arial" w:hAnsi="Arial" w:cs="Arial"/>
        </w:rPr>
        <w:t>message, the UE access class,</w:t>
      </w:r>
      <w:r w:rsidR="00D676EC">
        <w:rPr>
          <w:rFonts w:ascii="Arial" w:hAnsi="Arial" w:cs="Arial"/>
        </w:rPr>
        <w:t xml:space="preserve"> whether the PDN connectivity was rejected by the network </w:t>
      </w:r>
      <w:r w:rsidR="00D676EC">
        <w:rPr>
          <w:rFonts w:ascii="Arial" w:hAnsi="Arial" w:cs="Arial"/>
        </w:rPr>
        <w:lastRenderedPageBreak/>
        <w:t>in standalone procedure or in com</w:t>
      </w:r>
      <w:r w:rsidR="004623CB">
        <w:rPr>
          <w:rFonts w:ascii="Arial" w:hAnsi="Arial" w:cs="Arial"/>
        </w:rPr>
        <w:t xml:space="preserve">bination with attach procedure, and whether the UE is registered in HPLMN or EHPLMN or not. This makes the combination of conditions rather complicated. </w:t>
      </w:r>
    </w:p>
    <w:p w:rsidR="004915FE" w:rsidRPr="004623CB" w:rsidRDefault="004623CB" w:rsidP="006F167B">
      <w:pPr>
        <w:rPr>
          <w:rFonts w:ascii="Arial" w:hAnsi="Arial" w:cs="Arial"/>
        </w:rPr>
      </w:pPr>
      <w:r>
        <w:rPr>
          <w:rFonts w:ascii="Arial" w:hAnsi="Arial" w:cs="Arial"/>
          <w:b/>
        </w:rPr>
        <w:t>Conclusion</w:t>
      </w:r>
      <w:r w:rsidR="009C485E">
        <w:rPr>
          <w:rFonts w:ascii="Arial" w:hAnsi="Arial" w:cs="Arial"/>
          <w:b/>
        </w:rPr>
        <w:t xml:space="preserve"> 5</w:t>
      </w:r>
      <w:r>
        <w:rPr>
          <w:rFonts w:ascii="Arial" w:hAnsi="Arial" w:cs="Arial"/>
          <w:b/>
        </w:rPr>
        <w:t xml:space="preserve">: </w:t>
      </w:r>
      <w:r>
        <w:rPr>
          <w:rFonts w:ascii="Arial" w:hAnsi="Arial" w:cs="Arial"/>
        </w:rPr>
        <w:t xml:space="preserve">Re-use of ESM Dummy procedure already gives a good hint to avoid PDN connectivity to those UEs that are willing to take it, and any possibly following standalone attempts from the UE can be dealt with using the existing procedures. </w:t>
      </w:r>
    </w:p>
    <w:p w:rsidR="00DB0C9C" w:rsidRDefault="00DB0C9C" w:rsidP="00DB0C9C">
      <w:pPr>
        <w:pStyle w:val="Heading1"/>
        <w:rPr>
          <w:rFonts w:eastAsia="SimSun"/>
          <w:lang w:eastAsia="zh-CN"/>
        </w:rPr>
      </w:pPr>
      <w:r>
        <w:rPr>
          <w:rFonts w:eastAsia="SimSun"/>
          <w:lang w:eastAsia="zh-CN"/>
        </w:rPr>
        <w:t>3</w:t>
      </w:r>
      <w:r>
        <w:rPr>
          <w:rFonts w:eastAsia="SimSun"/>
          <w:lang w:eastAsia="zh-CN"/>
        </w:rPr>
        <w:tab/>
        <w:t>Conclusions and Proposal</w:t>
      </w:r>
    </w:p>
    <w:p w:rsidR="00DB0C9C" w:rsidRDefault="00DB0C9C" w:rsidP="00DB0C9C">
      <w:pPr>
        <w:rPr>
          <w:rFonts w:ascii="Arial" w:hAnsi="Arial" w:cs="Arial"/>
        </w:rPr>
      </w:pPr>
      <w:r>
        <w:rPr>
          <w:rFonts w:ascii="Arial" w:hAnsi="Arial" w:cs="Arial"/>
        </w:rPr>
        <w:t xml:space="preserve">By addressing the potential drawbacks listed in S2-170700 as well as other aspects, this paper provided insight to the requirements and the reasons for the design choices previously discussed in CT1 and CT4 which led to the approved CRs </w:t>
      </w:r>
      <w:hyperlink r:id="rId14" w:history="1">
        <w:r w:rsidRPr="007C0174">
          <w:rPr>
            <w:rStyle w:val="Hyperlink"/>
            <w:rFonts w:ascii="Arial" w:hAnsi="Arial" w:cs="Arial"/>
          </w:rPr>
          <w:t>C4-164056</w:t>
        </w:r>
      </w:hyperlink>
      <w:r>
        <w:rPr>
          <w:rFonts w:ascii="Arial" w:hAnsi="Arial" w:cs="Arial"/>
        </w:rPr>
        <w:t xml:space="preserve">, </w:t>
      </w:r>
      <w:hyperlink r:id="rId15" w:history="1">
        <w:r w:rsidRPr="007C0174">
          <w:rPr>
            <w:rStyle w:val="Hyperlink"/>
            <w:rFonts w:ascii="Arial" w:hAnsi="Arial" w:cs="Arial"/>
          </w:rPr>
          <w:t>C4-164058</w:t>
        </w:r>
      </w:hyperlink>
      <w:r>
        <w:rPr>
          <w:rFonts w:ascii="Arial" w:hAnsi="Arial" w:cs="Arial"/>
        </w:rPr>
        <w:t xml:space="preserve"> and </w:t>
      </w:r>
      <w:hyperlink r:id="rId16" w:history="1">
        <w:r w:rsidRPr="007C0174">
          <w:rPr>
            <w:rStyle w:val="Hyperlink"/>
            <w:rFonts w:ascii="Arial" w:hAnsi="Arial" w:cs="Arial"/>
          </w:rPr>
          <w:t>C1-165436</w:t>
        </w:r>
      </w:hyperlink>
      <w:r>
        <w:rPr>
          <w:rFonts w:ascii="Arial" w:hAnsi="Arial" w:cs="Arial"/>
        </w:rPr>
        <w:t xml:space="preserve">. </w:t>
      </w:r>
    </w:p>
    <w:p w:rsidR="00DB0C9C" w:rsidRDefault="00DB0C9C" w:rsidP="00DB0C9C">
      <w:pPr>
        <w:rPr>
          <w:rFonts w:ascii="Arial" w:hAnsi="Arial" w:cs="Arial"/>
        </w:rPr>
      </w:pPr>
      <w:r>
        <w:rPr>
          <w:rFonts w:ascii="Arial" w:hAnsi="Arial" w:cs="Arial"/>
        </w:rPr>
        <w:t xml:space="preserve">As concluded in clause 2 above, the issues raised in the LS S2-170700 and in the SA2 discussion are covered by TSG CT specifications, and there is no sufficient justification to change the already approved solution that meets the need. </w:t>
      </w:r>
    </w:p>
    <w:p w:rsidR="004915FE" w:rsidRPr="005D2EB5" w:rsidRDefault="00DB0C9C" w:rsidP="006F167B">
      <w:pPr>
        <w:rPr>
          <w:rFonts w:ascii="Arial" w:hAnsi="Arial" w:cs="Arial"/>
        </w:rPr>
      </w:pPr>
      <w:r>
        <w:rPr>
          <w:rFonts w:ascii="Arial" w:hAnsi="Arial" w:cs="Arial"/>
        </w:rPr>
        <w:t xml:space="preserve">Considering the above already evaluated design constraints, the already frozen releases, and the needs of the supporting operators who requested the feature, it is proposed SA2 </w:t>
      </w:r>
      <w:r w:rsidR="00791975">
        <w:rPr>
          <w:rFonts w:ascii="Arial" w:hAnsi="Arial" w:cs="Arial"/>
        </w:rPr>
        <w:t>to</w:t>
      </w:r>
      <w:r>
        <w:rPr>
          <w:rFonts w:ascii="Arial" w:hAnsi="Arial" w:cs="Arial"/>
        </w:rPr>
        <w:t xml:space="preserve"> conclude that the existing already approved procedure is satisfactory, and that it serves its purpose. </w:t>
      </w:r>
    </w:p>
    <w:sectPr w:rsidR="004915FE" w:rsidRPr="005D2EB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10C" w:rsidRDefault="00CC110C">
      <w:r>
        <w:separator/>
      </w:r>
    </w:p>
    <w:p w:rsidR="00CC110C" w:rsidRDefault="00CC110C"/>
  </w:endnote>
  <w:endnote w:type="continuationSeparator" w:id="0">
    <w:p w:rsidR="00CC110C" w:rsidRDefault="00CC110C">
      <w:r>
        <w:continuationSeparator/>
      </w:r>
    </w:p>
    <w:p w:rsidR="00CC110C" w:rsidRDefault="00CC1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AE9" w:rsidRDefault="00DA1AE9">
    <w:pPr>
      <w:framePr w:w="646" w:h="244" w:hRule="exact" w:wrap="around" w:vAnchor="text" w:hAnchor="margin" w:y="-5"/>
      <w:rPr>
        <w:rFonts w:ascii="Arial" w:hAnsi="Arial" w:cs="Arial"/>
        <w:b/>
        <w:bCs/>
        <w:i/>
        <w:iCs/>
        <w:sz w:val="18"/>
      </w:rPr>
    </w:pPr>
    <w:r>
      <w:rPr>
        <w:rFonts w:ascii="Arial" w:hAnsi="Arial" w:cs="Arial"/>
        <w:b/>
        <w:bCs/>
        <w:i/>
        <w:iCs/>
        <w:sz w:val="18"/>
      </w:rPr>
      <w:t>3GPP</w:t>
    </w:r>
  </w:p>
  <w:p w:rsidR="00DA1AE9" w:rsidRDefault="00DA1AE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A1AE9" w:rsidRDefault="00DA1A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10C" w:rsidRDefault="00CC110C">
      <w:r>
        <w:separator/>
      </w:r>
    </w:p>
    <w:p w:rsidR="00CC110C" w:rsidRDefault="00CC110C"/>
  </w:footnote>
  <w:footnote w:type="continuationSeparator" w:id="0">
    <w:p w:rsidR="00CC110C" w:rsidRDefault="00CC110C">
      <w:r>
        <w:continuationSeparator/>
      </w:r>
    </w:p>
    <w:p w:rsidR="00CC110C" w:rsidRDefault="00CC1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AE9" w:rsidRDefault="00DA1AE9"/>
  <w:p w:rsidR="00DA1AE9" w:rsidRDefault="00DA1A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AE9" w:rsidRPr="00327F50" w:rsidRDefault="00DA1AE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DA1AE9" w:rsidRPr="00327F50" w:rsidRDefault="00DA1AE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1D09FF">
      <w:rPr>
        <w:rFonts w:ascii="Arial" w:hAnsi="Arial" w:cs="Arial"/>
        <w:b/>
        <w:bCs/>
        <w:noProof/>
        <w:sz w:val="18"/>
        <w:lang w:val="fr-FR"/>
      </w:rPr>
      <w:t>1</w:t>
    </w:r>
    <w:r>
      <w:rPr>
        <w:rFonts w:ascii="Arial" w:hAnsi="Arial" w:cs="Arial"/>
        <w:b/>
        <w:bCs/>
        <w:sz w:val="18"/>
      </w:rPr>
      <w:fldChar w:fldCharType="end"/>
    </w:r>
  </w:p>
  <w:p w:rsidR="00DA1AE9" w:rsidRPr="00327F50" w:rsidRDefault="00DA1AE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20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4AE9F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5B8CF2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64D83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0D056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8280FC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860694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41A496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E506F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0FE11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34CE00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32003F9"/>
    <w:multiLevelType w:val="hybridMultilevel"/>
    <w:tmpl w:val="3AA8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CA240E"/>
    <w:multiLevelType w:val="hybridMultilevel"/>
    <w:tmpl w:val="B59A45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FA6B3D"/>
    <w:multiLevelType w:val="hybridMultilevel"/>
    <w:tmpl w:val="B25AB5A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2B322A"/>
    <w:multiLevelType w:val="hybridMultilevel"/>
    <w:tmpl w:val="01CAFC2C"/>
    <w:lvl w:ilvl="0" w:tplc="7CE841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371E5F"/>
    <w:multiLevelType w:val="hybridMultilevel"/>
    <w:tmpl w:val="C9D6B7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4"/>
  </w:num>
  <w:num w:numId="3">
    <w:abstractNumId w:val="22"/>
  </w:num>
  <w:num w:numId="4">
    <w:abstractNumId w:val="13"/>
  </w:num>
  <w:num w:numId="5">
    <w:abstractNumId w:val="30"/>
  </w:num>
  <w:num w:numId="6">
    <w:abstractNumId w:val="18"/>
  </w:num>
  <w:num w:numId="7">
    <w:abstractNumId w:val="17"/>
  </w:num>
  <w:num w:numId="8">
    <w:abstractNumId w:val="26"/>
  </w:num>
  <w:num w:numId="9">
    <w:abstractNumId w:val="25"/>
  </w:num>
  <w:num w:numId="10">
    <w:abstractNumId w:val="20"/>
  </w:num>
  <w:num w:numId="11">
    <w:abstractNumId w:val="15"/>
  </w:num>
  <w:num w:numId="12">
    <w:abstractNumId w:val="32"/>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1"/>
  </w:num>
  <w:num w:numId="26">
    <w:abstractNumId w:val="19"/>
  </w:num>
  <w:num w:numId="27">
    <w:abstractNumId w:val="27"/>
  </w:num>
  <w:num w:numId="28">
    <w:abstractNumId w:val="16"/>
  </w:num>
  <w:num w:numId="29">
    <w:abstractNumId w:val="14"/>
  </w:num>
  <w:num w:numId="30">
    <w:abstractNumId w:val="0"/>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1EA7"/>
    <w:rsid w:val="00005925"/>
    <w:rsid w:val="000222BA"/>
    <w:rsid w:val="000230B6"/>
    <w:rsid w:val="00025373"/>
    <w:rsid w:val="0002544A"/>
    <w:rsid w:val="0003193C"/>
    <w:rsid w:val="00035FE5"/>
    <w:rsid w:val="0004469D"/>
    <w:rsid w:val="00075F69"/>
    <w:rsid w:val="00077D47"/>
    <w:rsid w:val="00081EBC"/>
    <w:rsid w:val="000850FC"/>
    <w:rsid w:val="00087562"/>
    <w:rsid w:val="000A238D"/>
    <w:rsid w:val="000D42D8"/>
    <w:rsid w:val="000D56CC"/>
    <w:rsid w:val="000E1954"/>
    <w:rsid w:val="000E2DB1"/>
    <w:rsid w:val="000F05DC"/>
    <w:rsid w:val="0010402F"/>
    <w:rsid w:val="00120244"/>
    <w:rsid w:val="00126D93"/>
    <w:rsid w:val="00141BF6"/>
    <w:rsid w:val="00146551"/>
    <w:rsid w:val="00150A1C"/>
    <w:rsid w:val="00151168"/>
    <w:rsid w:val="0015542E"/>
    <w:rsid w:val="001578B5"/>
    <w:rsid w:val="0018320F"/>
    <w:rsid w:val="0018625B"/>
    <w:rsid w:val="0018636E"/>
    <w:rsid w:val="001B01A9"/>
    <w:rsid w:val="001C5084"/>
    <w:rsid w:val="001D09FF"/>
    <w:rsid w:val="001E38ED"/>
    <w:rsid w:val="001F2A60"/>
    <w:rsid w:val="001F336D"/>
    <w:rsid w:val="001F34F1"/>
    <w:rsid w:val="001F7423"/>
    <w:rsid w:val="00211CED"/>
    <w:rsid w:val="00216BE9"/>
    <w:rsid w:val="00230334"/>
    <w:rsid w:val="00234334"/>
    <w:rsid w:val="00241C7D"/>
    <w:rsid w:val="0024528C"/>
    <w:rsid w:val="00245600"/>
    <w:rsid w:val="002468E3"/>
    <w:rsid w:val="0026124A"/>
    <w:rsid w:val="00277B1C"/>
    <w:rsid w:val="00287EF5"/>
    <w:rsid w:val="002B52D0"/>
    <w:rsid w:val="002D0297"/>
    <w:rsid w:val="002D36CC"/>
    <w:rsid w:val="002E12EE"/>
    <w:rsid w:val="002E262F"/>
    <w:rsid w:val="002E754D"/>
    <w:rsid w:val="002E7C6F"/>
    <w:rsid w:val="003123C4"/>
    <w:rsid w:val="00317F14"/>
    <w:rsid w:val="00322179"/>
    <w:rsid w:val="0032741A"/>
    <w:rsid w:val="00327F50"/>
    <w:rsid w:val="00341C94"/>
    <w:rsid w:val="00346308"/>
    <w:rsid w:val="003521FA"/>
    <w:rsid w:val="00352292"/>
    <w:rsid w:val="003553E9"/>
    <w:rsid w:val="00366308"/>
    <w:rsid w:val="00367328"/>
    <w:rsid w:val="0037667A"/>
    <w:rsid w:val="003827B4"/>
    <w:rsid w:val="00393D0A"/>
    <w:rsid w:val="0039587F"/>
    <w:rsid w:val="003B7691"/>
    <w:rsid w:val="003D2B90"/>
    <w:rsid w:val="003F12D4"/>
    <w:rsid w:val="004138EA"/>
    <w:rsid w:val="0041402C"/>
    <w:rsid w:val="00422C64"/>
    <w:rsid w:val="0043413C"/>
    <w:rsid w:val="00440983"/>
    <w:rsid w:val="00447498"/>
    <w:rsid w:val="004623CB"/>
    <w:rsid w:val="00474B2E"/>
    <w:rsid w:val="00487FF8"/>
    <w:rsid w:val="004915FE"/>
    <w:rsid w:val="004934E0"/>
    <w:rsid w:val="004974F2"/>
    <w:rsid w:val="004A0D47"/>
    <w:rsid w:val="004A2E8B"/>
    <w:rsid w:val="004A4952"/>
    <w:rsid w:val="004C34C8"/>
    <w:rsid w:val="004D15F8"/>
    <w:rsid w:val="004D1807"/>
    <w:rsid w:val="004E0B21"/>
    <w:rsid w:val="004E4DD8"/>
    <w:rsid w:val="004E74BA"/>
    <w:rsid w:val="004F4D73"/>
    <w:rsid w:val="00526F91"/>
    <w:rsid w:val="005272F4"/>
    <w:rsid w:val="005326B5"/>
    <w:rsid w:val="00540CED"/>
    <w:rsid w:val="005443D7"/>
    <w:rsid w:val="005509C5"/>
    <w:rsid w:val="00554712"/>
    <w:rsid w:val="005961AD"/>
    <w:rsid w:val="005A1301"/>
    <w:rsid w:val="005B6A01"/>
    <w:rsid w:val="005D2EB5"/>
    <w:rsid w:val="005D3FC9"/>
    <w:rsid w:val="005D5077"/>
    <w:rsid w:val="005E44C2"/>
    <w:rsid w:val="005E4A51"/>
    <w:rsid w:val="005F666C"/>
    <w:rsid w:val="005F799E"/>
    <w:rsid w:val="00617327"/>
    <w:rsid w:val="006270FD"/>
    <w:rsid w:val="00635AA5"/>
    <w:rsid w:val="00636C8A"/>
    <w:rsid w:val="00645173"/>
    <w:rsid w:val="00654706"/>
    <w:rsid w:val="006612B2"/>
    <w:rsid w:val="0067196A"/>
    <w:rsid w:val="006868ED"/>
    <w:rsid w:val="00692A03"/>
    <w:rsid w:val="00694FE0"/>
    <w:rsid w:val="006A0E0E"/>
    <w:rsid w:val="006A7601"/>
    <w:rsid w:val="006A7CD3"/>
    <w:rsid w:val="006B29AD"/>
    <w:rsid w:val="006C52AC"/>
    <w:rsid w:val="006D493E"/>
    <w:rsid w:val="006E24EB"/>
    <w:rsid w:val="006F167B"/>
    <w:rsid w:val="00711C56"/>
    <w:rsid w:val="00721AB8"/>
    <w:rsid w:val="0072217B"/>
    <w:rsid w:val="00722414"/>
    <w:rsid w:val="00722AA1"/>
    <w:rsid w:val="00725112"/>
    <w:rsid w:val="0073482C"/>
    <w:rsid w:val="00742917"/>
    <w:rsid w:val="007524A9"/>
    <w:rsid w:val="00755C92"/>
    <w:rsid w:val="00761971"/>
    <w:rsid w:val="00764DBB"/>
    <w:rsid w:val="0077200D"/>
    <w:rsid w:val="00772727"/>
    <w:rsid w:val="00775F1D"/>
    <w:rsid w:val="007765C2"/>
    <w:rsid w:val="00780258"/>
    <w:rsid w:val="007841A2"/>
    <w:rsid w:val="00791975"/>
    <w:rsid w:val="007968B5"/>
    <w:rsid w:val="00797856"/>
    <w:rsid w:val="007C0174"/>
    <w:rsid w:val="007C5D86"/>
    <w:rsid w:val="007F4907"/>
    <w:rsid w:val="008052EB"/>
    <w:rsid w:val="00820C44"/>
    <w:rsid w:val="00832AFD"/>
    <w:rsid w:val="00846140"/>
    <w:rsid w:val="008621C6"/>
    <w:rsid w:val="008905A9"/>
    <w:rsid w:val="00896618"/>
    <w:rsid w:val="008A1200"/>
    <w:rsid w:val="008B5D2F"/>
    <w:rsid w:val="008B7804"/>
    <w:rsid w:val="008B7E8F"/>
    <w:rsid w:val="008C401B"/>
    <w:rsid w:val="008D785C"/>
    <w:rsid w:val="008D793E"/>
    <w:rsid w:val="008E2B3E"/>
    <w:rsid w:val="00910E42"/>
    <w:rsid w:val="009130B1"/>
    <w:rsid w:val="009143A9"/>
    <w:rsid w:val="00924410"/>
    <w:rsid w:val="0093589C"/>
    <w:rsid w:val="0094158F"/>
    <w:rsid w:val="0094482A"/>
    <w:rsid w:val="00945345"/>
    <w:rsid w:val="00964FA8"/>
    <w:rsid w:val="00985F62"/>
    <w:rsid w:val="009A7445"/>
    <w:rsid w:val="009C0A33"/>
    <w:rsid w:val="009C485E"/>
    <w:rsid w:val="009C76AB"/>
    <w:rsid w:val="009E796B"/>
    <w:rsid w:val="009F2992"/>
    <w:rsid w:val="00A031B0"/>
    <w:rsid w:val="00A116A9"/>
    <w:rsid w:val="00A24688"/>
    <w:rsid w:val="00A41677"/>
    <w:rsid w:val="00A51EE2"/>
    <w:rsid w:val="00A65EB5"/>
    <w:rsid w:val="00A679EC"/>
    <w:rsid w:val="00A72ED0"/>
    <w:rsid w:val="00A75A5D"/>
    <w:rsid w:val="00A760FA"/>
    <w:rsid w:val="00A856EF"/>
    <w:rsid w:val="00A9555B"/>
    <w:rsid w:val="00AC3E71"/>
    <w:rsid w:val="00AD03F0"/>
    <w:rsid w:val="00AD5092"/>
    <w:rsid w:val="00AD7870"/>
    <w:rsid w:val="00B254F1"/>
    <w:rsid w:val="00B301E8"/>
    <w:rsid w:val="00B473A0"/>
    <w:rsid w:val="00B51870"/>
    <w:rsid w:val="00B63FF5"/>
    <w:rsid w:val="00B707D6"/>
    <w:rsid w:val="00B755EC"/>
    <w:rsid w:val="00B8314D"/>
    <w:rsid w:val="00B97610"/>
    <w:rsid w:val="00BC62BF"/>
    <w:rsid w:val="00BD33C8"/>
    <w:rsid w:val="00BE040E"/>
    <w:rsid w:val="00BE1A50"/>
    <w:rsid w:val="00BF0C13"/>
    <w:rsid w:val="00BF0F06"/>
    <w:rsid w:val="00BF43E8"/>
    <w:rsid w:val="00BF5B4E"/>
    <w:rsid w:val="00BF5CC5"/>
    <w:rsid w:val="00C000B3"/>
    <w:rsid w:val="00C02586"/>
    <w:rsid w:val="00C03809"/>
    <w:rsid w:val="00C32EA4"/>
    <w:rsid w:val="00C40828"/>
    <w:rsid w:val="00C464DC"/>
    <w:rsid w:val="00C466C5"/>
    <w:rsid w:val="00C47B70"/>
    <w:rsid w:val="00C52F08"/>
    <w:rsid w:val="00C67B80"/>
    <w:rsid w:val="00C71C97"/>
    <w:rsid w:val="00C86E8A"/>
    <w:rsid w:val="00C95C15"/>
    <w:rsid w:val="00CB24B3"/>
    <w:rsid w:val="00CC110C"/>
    <w:rsid w:val="00CC5766"/>
    <w:rsid w:val="00CF60B9"/>
    <w:rsid w:val="00CF6838"/>
    <w:rsid w:val="00CF695E"/>
    <w:rsid w:val="00D008DC"/>
    <w:rsid w:val="00D31BDD"/>
    <w:rsid w:val="00D3471B"/>
    <w:rsid w:val="00D34920"/>
    <w:rsid w:val="00D40A5F"/>
    <w:rsid w:val="00D63DF4"/>
    <w:rsid w:val="00D652D9"/>
    <w:rsid w:val="00D676EC"/>
    <w:rsid w:val="00D95643"/>
    <w:rsid w:val="00DA1AE9"/>
    <w:rsid w:val="00DA57FE"/>
    <w:rsid w:val="00DB0C9C"/>
    <w:rsid w:val="00DC53E3"/>
    <w:rsid w:val="00DD2466"/>
    <w:rsid w:val="00DD7403"/>
    <w:rsid w:val="00DF7FB6"/>
    <w:rsid w:val="00E323F5"/>
    <w:rsid w:val="00E4021C"/>
    <w:rsid w:val="00E51FDC"/>
    <w:rsid w:val="00E71105"/>
    <w:rsid w:val="00E71753"/>
    <w:rsid w:val="00E81045"/>
    <w:rsid w:val="00E85331"/>
    <w:rsid w:val="00E93396"/>
    <w:rsid w:val="00E9604D"/>
    <w:rsid w:val="00EA1F4F"/>
    <w:rsid w:val="00EA3BF2"/>
    <w:rsid w:val="00EA6633"/>
    <w:rsid w:val="00ED04D3"/>
    <w:rsid w:val="00EE3B2E"/>
    <w:rsid w:val="00EE5EC0"/>
    <w:rsid w:val="00F05F9E"/>
    <w:rsid w:val="00F37431"/>
    <w:rsid w:val="00F6363C"/>
    <w:rsid w:val="00F77A86"/>
    <w:rsid w:val="00F77CB8"/>
    <w:rsid w:val="00F9126D"/>
    <w:rsid w:val="00F932DC"/>
    <w:rsid w:val="00FA0A91"/>
    <w:rsid w:val="00FC246B"/>
    <w:rsid w:val="00FD6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A4F9E"/>
  <w15:docId w15:val="{9079853B-581D-4F2B-A886-E678794EB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TableGrid">
    <w:name w:val="Table Grid"/>
    <w:basedOn w:val="TableNormal"/>
    <w:rsid w:val="002E7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323F5"/>
    <w:rPr>
      <w:b/>
      <w:bCs/>
    </w:rPr>
  </w:style>
  <w:style w:type="character" w:customStyle="1" w:styleId="CommentSubjectChar">
    <w:name w:val="Comment Subject Char"/>
    <w:link w:val="CommentSubject"/>
    <w:rsid w:val="00E323F5"/>
    <w:rPr>
      <w:rFonts w:eastAsia="SimSun"/>
      <w:b/>
      <w:bCs/>
      <w:color w:val="000000"/>
      <w:lang w:val="en-GB" w:eastAsia="ja-JP"/>
    </w:rPr>
  </w:style>
  <w:style w:type="paragraph" w:styleId="BalloonText">
    <w:name w:val="Balloon Text"/>
    <w:basedOn w:val="Normal"/>
    <w:link w:val="BalloonTextChar"/>
    <w:rsid w:val="00E323F5"/>
    <w:pPr>
      <w:spacing w:after="0"/>
    </w:pPr>
    <w:rPr>
      <w:rFonts w:ascii="Segoe UI" w:hAnsi="Segoe UI"/>
      <w:sz w:val="18"/>
      <w:szCs w:val="18"/>
    </w:rPr>
  </w:style>
  <w:style w:type="character" w:customStyle="1" w:styleId="BalloonTextChar">
    <w:name w:val="Balloon Text Char"/>
    <w:link w:val="BalloonText"/>
    <w:rsid w:val="00E323F5"/>
    <w:rPr>
      <w:rFonts w:ascii="Segoe UI" w:hAnsi="Segoe UI" w:cs="Segoe UI"/>
      <w:color w:val="000000"/>
      <w:sz w:val="18"/>
      <w:szCs w:val="18"/>
      <w:lang w:val="en-GB" w:eastAsia="ja-JP"/>
    </w:rPr>
  </w:style>
  <w:style w:type="paragraph" w:customStyle="1" w:styleId="ColorfulShading-Accent11">
    <w:name w:val="Colorful Shading - Accent 11"/>
    <w:hidden/>
    <w:uiPriority w:val="99"/>
    <w:semiHidden/>
    <w:rsid w:val="00005925"/>
    <w:rPr>
      <w:color w:val="000000"/>
      <w:lang w:val="en-GB" w:eastAsia="ja-JP"/>
    </w:rPr>
  </w:style>
  <w:style w:type="paragraph" w:customStyle="1" w:styleId="ColorfulList-Accent11">
    <w:name w:val="Colorful List - Accent 11"/>
    <w:basedOn w:val="Normal"/>
    <w:uiPriority w:val="34"/>
    <w:qFormat/>
    <w:rsid w:val="00126D93"/>
    <w:pPr>
      <w:overflowPunct/>
      <w:autoSpaceDE/>
      <w:autoSpaceDN/>
      <w:adjustRightInd/>
      <w:spacing w:after="0"/>
      <w:ind w:left="720"/>
      <w:textAlignment w:val="auto"/>
    </w:pPr>
    <w:rPr>
      <w:rFonts w:ascii="Calibri" w:hAnsi="Calibri" w:cs="Calibri"/>
      <w:color w:val="auto"/>
      <w:sz w:val="22"/>
      <w:szCs w:val="22"/>
      <w:lang w:val="en-US" w:eastAsia="en-US"/>
    </w:rPr>
  </w:style>
  <w:style w:type="paragraph" w:styleId="PlainText">
    <w:name w:val="Plain Text"/>
    <w:basedOn w:val="Normal"/>
    <w:link w:val="PlainTextChar"/>
    <w:uiPriority w:val="99"/>
    <w:unhideWhenUsed/>
    <w:rsid w:val="0093589C"/>
    <w:pPr>
      <w:overflowPunct/>
      <w:autoSpaceDE/>
      <w:autoSpaceDN/>
      <w:adjustRightInd/>
      <w:spacing w:after="0"/>
      <w:textAlignment w:val="auto"/>
    </w:pPr>
    <w:rPr>
      <w:rFonts w:ascii="Calibri" w:hAnsi="Calibri"/>
      <w:color w:val="auto"/>
      <w:sz w:val="22"/>
      <w:szCs w:val="21"/>
      <w:lang w:val="en-US" w:eastAsia="en-US"/>
    </w:rPr>
  </w:style>
  <w:style w:type="character" w:customStyle="1" w:styleId="PlainTextChar">
    <w:name w:val="Plain Text Char"/>
    <w:link w:val="PlainText"/>
    <w:uiPriority w:val="99"/>
    <w:rsid w:val="0093589C"/>
    <w:rPr>
      <w:rFonts w:ascii="Calibri" w:hAnsi="Calibri" w:cs="Consolas"/>
      <w:sz w:val="22"/>
      <w:szCs w:val="21"/>
      <w:lang w:val="en-US" w:eastAsia="en-US"/>
    </w:rPr>
  </w:style>
  <w:style w:type="paragraph" w:styleId="ListParagraph">
    <w:name w:val="List Paragraph"/>
    <w:basedOn w:val="Normal"/>
    <w:uiPriority w:val="34"/>
    <w:qFormat/>
    <w:rsid w:val="00B301E8"/>
    <w:pPr>
      <w:overflowPunct/>
      <w:autoSpaceDE/>
      <w:autoSpaceDN/>
      <w:adjustRightInd/>
      <w:spacing w:after="0"/>
      <w:ind w:left="720"/>
      <w:textAlignment w:val="auto"/>
    </w:pPr>
    <w:rPr>
      <w:rFonts w:ascii="Calibri" w:hAnsi="Calibri" w:cs="Calibri"/>
      <w:color w:val="auto"/>
      <w:sz w:val="22"/>
      <w:szCs w:val="22"/>
      <w:lang w:val="en-US" w:eastAsia="en-US"/>
    </w:rPr>
  </w:style>
  <w:style w:type="paragraph" w:styleId="Revision">
    <w:name w:val="Revision"/>
    <w:hidden/>
    <w:uiPriority w:val="99"/>
    <w:semiHidden/>
    <w:rsid w:val="00E51FDC"/>
    <w:rPr>
      <w:color w:val="000000"/>
      <w:lang w:val="en-GB" w:eastAsia="ja-JP"/>
    </w:rPr>
  </w:style>
  <w:style w:type="character" w:styleId="Hyperlink">
    <w:name w:val="Hyperlink"/>
    <w:uiPriority w:val="99"/>
    <w:unhideWhenUsed/>
    <w:rsid w:val="00D34920"/>
    <w:rPr>
      <w:color w:val="0000FF"/>
      <w:u w:val="single"/>
    </w:rPr>
  </w:style>
  <w:style w:type="character" w:customStyle="1" w:styleId="Heading3Char">
    <w:name w:val="Heading 3 Char"/>
    <w:link w:val="Heading3"/>
    <w:rsid w:val="00D34920"/>
    <w:rPr>
      <w:rFonts w:ascii="Arial" w:hAnsi="Arial"/>
      <w:sz w:val="28"/>
      <w:lang w:val="en-GB" w:eastAsia="ja-JP"/>
    </w:rPr>
  </w:style>
  <w:style w:type="paragraph" w:customStyle="1" w:styleId="CRCoverPage">
    <w:name w:val="CR Cover Page"/>
    <w:rsid w:val="00487FF8"/>
    <w:pPr>
      <w:spacing w:after="120"/>
    </w:pPr>
    <w:rPr>
      <w:rFonts w:ascii="Arial" w:hAnsi="Arial"/>
      <w:lang w:val="en-GB" w:eastAsia="en-US"/>
    </w:rPr>
  </w:style>
  <w:style w:type="character" w:styleId="FollowedHyperlink">
    <w:name w:val="FollowedHyperlink"/>
    <w:semiHidden/>
    <w:unhideWhenUsed/>
    <w:rsid w:val="00CF69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5666226">
      <w:bodyDiv w:val="1"/>
      <w:marLeft w:val="0"/>
      <w:marRight w:val="0"/>
      <w:marTop w:val="0"/>
      <w:marBottom w:val="0"/>
      <w:divBdr>
        <w:top w:val="none" w:sz="0" w:space="0" w:color="auto"/>
        <w:left w:val="none" w:sz="0" w:space="0" w:color="auto"/>
        <w:bottom w:val="none" w:sz="0" w:space="0" w:color="auto"/>
        <w:right w:val="none" w:sz="0" w:space="0" w:color="auto"/>
      </w:divBdr>
    </w:div>
    <w:div w:id="1214193175">
      <w:bodyDiv w:val="1"/>
      <w:marLeft w:val="0"/>
      <w:marRight w:val="0"/>
      <w:marTop w:val="0"/>
      <w:marBottom w:val="0"/>
      <w:divBdr>
        <w:top w:val="none" w:sz="0" w:space="0" w:color="auto"/>
        <w:left w:val="none" w:sz="0" w:space="0" w:color="auto"/>
        <w:bottom w:val="none" w:sz="0" w:space="0" w:color="auto"/>
        <w:right w:val="none" w:sz="0" w:space="0" w:color="auto"/>
      </w:divBdr>
    </w:div>
    <w:div w:id="1940673783">
      <w:bodyDiv w:val="1"/>
      <w:marLeft w:val="0"/>
      <w:marRight w:val="0"/>
      <w:marTop w:val="0"/>
      <w:marBottom w:val="0"/>
      <w:divBdr>
        <w:top w:val="none" w:sz="0" w:space="0" w:color="auto"/>
        <w:left w:val="none" w:sz="0" w:space="0" w:color="auto"/>
        <w:bottom w:val="none" w:sz="0" w:space="0" w:color="auto"/>
        <w:right w:val="none" w:sz="0" w:space="0" w:color="auto"/>
      </w:divBdr>
    </w:div>
    <w:div w:id="2011903142">
      <w:bodyDiv w:val="1"/>
      <w:marLeft w:val="0"/>
      <w:marRight w:val="0"/>
      <w:marTop w:val="0"/>
      <w:marBottom w:val="0"/>
      <w:divBdr>
        <w:top w:val="none" w:sz="0" w:space="0" w:color="auto"/>
        <w:left w:val="none" w:sz="0" w:space="0" w:color="auto"/>
        <w:bottom w:val="none" w:sz="0" w:space="0" w:color="auto"/>
        <w:right w:val="none" w:sz="0" w:space="0" w:color="auto"/>
      </w:divBdr>
    </w:div>
    <w:div w:id="210490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ct/WG4_protocollars_ex-CN4/TSGCT4_74_Tenerife/Docs/C4-164056.zip" TargetMode="External"/><Relationship Id="rId13" Type="http://schemas.openxmlformats.org/officeDocument/2006/relationships/hyperlink" Target="http://3gpp.org/ftp/tsg_sa/WG2_Arch/TSGS2_118BIS_Spokane/Docs/S2-170700.zi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3gpp.org/ftp/tsg_sa/WG2_Arch/TSGS2_118BIS_Spokane/Docs/S2-170143.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3gpp.org/ftp/tsg_ct/WG1_mm-cc-sm_ex-CN1/TSGC1_101_Reno/docs/C1-16543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ct/WG1_mm-cc-sm_ex-CN1/TSGC1_101_Reno/docs/C1-165436.zip" TargetMode="External"/><Relationship Id="rId5" Type="http://schemas.openxmlformats.org/officeDocument/2006/relationships/webSettings" Target="webSettings.xml"/><Relationship Id="rId15" Type="http://schemas.openxmlformats.org/officeDocument/2006/relationships/hyperlink" Target="http://3gpp.org/ftp/tsg_ct/WG4_protocollars_ex-CN4/TSGCT4_74_Tenerife/Docs/C4-164058.zip" TargetMode="External"/><Relationship Id="rId10" Type="http://schemas.openxmlformats.org/officeDocument/2006/relationships/hyperlink" Target="http://3gpp.org/ftp/tsg_ct/WG4_protocollars_ex-CN4/TSGCT4_74_Tenerife/Docs/C4-164058.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3gpp.org/ftp/tsg_ct/WG4_protocollars_ex-CN4/TSGCT4_74_Tenerife/Docs/C4-164056.zip" TargetMode="External"/><Relationship Id="rId14" Type="http://schemas.openxmlformats.org/officeDocument/2006/relationships/hyperlink" Target="http://3gpp.org/ftp/tsg_ct/WG4_protocollars_ex-CN4/TSGCT4_74_Tenerife/Docs/C4-1640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9D28E1-F03C-47AF-AB80-3FEC4B3D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1536</Words>
  <Characters>12448</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13957</CharactersWithSpaces>
  <SharedDoc>false</SharedDoc>
  <HLinks>
    <vt:vector size="54" baseType="variant">
      <vt:variant>
        <vt:i4>393315</vt:i4>
      </vt:variant>
      <vt:variant>
        <vt:i4>24</vt:i4>
      </vt:variant>
      <vt:variant>
        <vt:i4>0</vt:i4>
      </vt:variant>
      <vt:variant>
        <vt:i4>5</vt:i4>
      </vt:variant>
      <vt:variant>
        <vt:lpwstr>http://3gpp.org/ftp/tsg_ct/WG1_mm-cc-sm_ex-CN1/TSGC1_101_Reno/docs/C1-165436.zip</vt:lpwstr>
      </vt:variant>
      <vt:variant>
        <vt:lpwstr/>
      </vt:variant>
      <vt:variant>
        <vt:i4>6357086</vt:i4>
      </vt:variant>
      <vt:variant>
        <vt:i4>21</vt:i4>
      </vt:variant>
      <vt:variant>
        <vt:i4>0</vt:i4>
      </vt:variant>
      <vt:variant>
        <vt:i4>5</vt:i4>
      </vt:variant>
      <vt:variant>
        <vt:lpwstr>http://3gpp.org/ftp/tsg_ct/WG4_protocollars_ex-CN4/TSGCT4_74_Tenerife/Docs/C4-164058.zip</vt:lpwstr>
      </vt:variant>
      <vt:variant>
        <vt:lpwstr/>
      </vt:variant>
      <vt:variant>
        <vt:i4>7274590</vt:i4>
      </vt:variant>
      <vt:variant>
        <vt:i4>18</vt:i4>
      </vt:variant>
      <vt:variant>
        <vt:i4>0</vt:i4>
      </vt:variant>
      <vt:variant>
        <vt:i4>5</vt:i4>
      </vt:variant>
      <vt:variant>
        <vt:lpwstr>http://3gpp.org/ftp/tsg_ct/WG4_protocollars_ex-CN4/TSGCT4_74_Tenerife/Docs/C4-164056.zip</vt:lpwstr>
      </vt:variant>
      <vt:variant>
        <vt:lpwstr/>
      </vt:variant>
      <vt:variant>
        <vt:i4>7208993</vt:i4>
      </vt:variant>
      <vt:variant>
        <vt:i4>15</vt:i4>
      </vt:variant>
      <vt:variant>
        <vt:i4>0</vt:i4>
      </vt:variant>
      <vt:variant>
        <vt:i4>5</vt:i4>
      </vt:variant>
      <vt:variant>
        <vt:lpwstr>http://3gpp.org/ftp/tsg_sa/WG2_Arch/TSGS2_118BIS_Spokane/Docs/S2-170700.zip</vt:lpwstr>
      </vt:variant>
      <vt:variant>
        <vt:lpwstr/>
      </vt:variant>
      <vt:variant>
        <vt:i4>6946852</vt:i4>
      </vt:variant>
      <vt:variant>
        <vt:i4>12</vt:i4>
      </vt:variant>
      <vt:variant>
        <vt:i4>0</vt:i4>
      </vt:variant>
      <vt:variant>
        <vt:i4>5</vt:i4>
      </vt:variant>
      <vt:variant>
        <vt:lpwstr>http://3gpp.org/ftp/tsg_sa/WG2_Arch/TSGS2_118BIS_Spokane/Docs/S2-170143.zip</vt:lpwstr>
      </vt:variant>
      <vt:variant>
        <vt:lpwstr/>
      </vt:variant>
      <vt:variant>
        <vt:i4>393315</vt:i4>
      </vt:variant>
      <vt:variant>
        <vt:i4>9</vt:i4>
      </vt:variant>
      <vt:variant>
        <vt:i4>0</vt:i4>
      </vt:variant>
      <vt:variant>
        <vt:i4>5</vt:i4>
      </vt:variant>
      <vt:variant>
        <vt:lpwstr>http://3gpp.org/ftp/tsg_ct/WG1_mm-cc-sm_ex-CN1/TSGC1_101_Reno/docs/C1-165436.zip</vt:lpwstr>
      </vt:variant>
      <vt:variant>
        <vt:lpwstr/>
      </vt:variant>
      <vt:variant>
        <vt:i4>6357086</vt:i4>
      </vt:variant>
      <vt:variant>
        <vt:i4>6</vt:i4>
      </vt:variant>
      <vt:variant>
        <vt:i4>0</vt:i4>
      </vt:variant>
      <vt:variant>
        <vt:i4>5</vt:i4>
      </vt:variant>
      <vt:variant>
        <vt:lpwstr>http://3gpp.org/ftp/tsg_ct/WG4_protocollars_ex-CN4/TSGCT4_74_Tenerife/Docs/C4-164058.zip</vt:lpwstr>
      </vt:variant>
      <vt:variant>
        <vt:lpwstr/>
      </vt:variant>
      <vt:variant>
        <vt:i4>7274590</vt:i4>
      </vt:variant>
      <vt:variant>
        <vt:i4>3</vt:i4>
      </vt:variant>
      <vt:variant>
        <vt:i4>0</vt:i4>
      </vt:variant>
      <vt:variant>
        <vt:i4>5</vt:i4>
      </vt:variant>
      <vt:variant>
        <vt:lpwstr>http://3gpp.org/ftp/tsg_ct/WG4_protocollars_ex-CN4/TSGCT4_74_Tenerife/Docs/C4-164056.zip</vt:lpwstr>
      </vt:variant>
      <vt:variant>
        <vt:lpwstr/>
      </vt:variant>
      <vt:variant>
        <vt:i4>7274590</vt:i4>
      </vt:variant>
      <vt:variant>
        <vt:i4>0</vt:i4>
      </vt:variant>
      <vt:variant>
        <vt:i4>0</vt:i4>
      </vt:variant>
      <vt:variant>
        <vt:i4>5</vt:i4>
      </vt:variant>
      <vt:variant>
        <vt:lpwstr>http://3gpp.org/ftp/tsg_ct/WG4_protocollars_ex-CN4/TSGCT4_74_Tenerife/Docs/C4-164056.zip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Hannu Hietalahti / Nokia</cp:lastModifiedBy>
  <cp:revision>7</cp:revision>
  <cp:lastPrinted>2003-09-26T10:29:00Z</cp:lastPrinted>
  <dcterms:created xsi:type="dcterms:W3CDTF">2017-02-03T14:24:00Z</dcterms:created>
  <dcterms:modified xsi:type="dcterms:W3CDTF">2017-02-07T12:25:00Z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1486118448</vt:lpwstr>
  </property>
</Properties>
</file>